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60" w:rsidRDefault="00725BF7" w:rsidP="00725BF7">
      <w:pPr>
        <w:spacing w:line="240" w:lineRule="auto"/>
        <w:contextualSpacing/>
        <w:rPr>
          <w:lang w:val="es-ES"/>
        </w:rPr>
      </w:pPr>
      <w:r>
        <w:rPr>
          <w:lang w:val="es-ES"/>
        </w:rPr>
        <w:t>Pensilvania, febrero 12 de 2020</w:t>
      </w:r>
    </w:p>
    <w:p w:rsidR="00725BF7" w:rsidRDefault="00725BF7" w:rsidP="00725BF7">
      <w:pPr>
        <w:spacing w:line="240" w:lineRule="auto"/>
        <w:contextualSpacing/>
        <w:rPr>
          <w:lang w:val="es-ES"/>
        </w:rPr>
      </w:pPr>
    </w:p>
    <w:p w:rsidR="00725BF7" w:rsidRDefault="00725BF7" w:rsidP="00725BF7">
      <w:pPr>
        <w:spacing w:line="240" w:lineRule="auto"/>
        <w:contextualSpacing/>
        <w:rPr>
          <w:lang w:val="es-ES"/>
        </w:rPr>
      </w:pPr>
    </w:p>
    <w:p w:rsidR="00725BF7" w:rsidRDefault="00725BF7" w:rsidP="00725BF7">
      <w:pPr>
        <w:spacing w:line="240" w:lineRule="auto"/>
        <w:contextualSpacing/>
        <w:rPr>
          <w:lang w:val="es-ES"/>
        </w:rPr>
      </w:pPr>
      <w:r>
        <w:rPr>
          <w:lang w:val="es-ES"/>
        </w:rPr>
        <w:t>Señores</w:t>
      </w:r>
    </w:p>
    <w:p w:rsidR="00725BF7" w:rsidRDefault="00725BF7" w:rsidP="00725BF7">
      <w:pPr>
        <w:spacing w:line="240" w:lineRule="auto"/>
        <w:contextualSpacing/>
        <w:rPr>
          <w:lang w:val="es-ES"/>
        </w:rPr>
      </w:pPr>
      <w:r>
        <w:rPr>
          <w:lang w:val="es-ES"/>
        </w:rPr>
        <w:t xml:space="preserve">CONSEJO DIRECTIVO </w:t>
      </w:r>
    </w:p>
    <w:p w:rsidR="00725BF7" w:rsidRDefault="00725BF7" w:rsidP="00725BF7">
      <w:pPr>
        <w:spacing w:line="240" w:lineRule="auto"/>
        <w:contextualSpacing/>
        <w:rPr>
          <w:lang w:val="es-ES"/>
        </w:rPr>
      </w:pPr>
      <w:r>
        <w:rPr>
          <w:lang w:val="es-ES"/>
        </w:rPr>
        <w:t>IES CINOC</w:t>
      </w:r>
    </w:p>
    <w:p w:rsidR="00725BF7" w:rsidRDefault="00725BF7" w:rsidP="00725BF7">
      <w:pPr>
        <w:spacing w:line="240" w:lineRule="auto"/>
        <w:contextualSpacing/>
        <w:rPr>
          <w:lang w:val="es-ES"/>
        </w:rPr>
      </w:pPr>
    </w:p>
    <w:p w:rsidR="00725BF7" w:rsidRDefault="00725BF7" w:rsidP="00725BF7">
      <w:pPr>
        <w:spacing w:line="240" w:lineRule="auto"/>
        <w:contextualSpacing/>
        <w:rPr>
          <w:lang w:val="es-ES"/>
        </w:rPr>
      </w:pPr>
      <w:r>
        <w:rPr>
          <w:lang w:val="es-ES"/>
        </w:rPr>
        <w:t>Respetados Consejeros</w:t>
      </w:r>
    </w:p>
    <w:p w:rsidR="00725BF7" w:rsidRDefault="00725BF7" w:rsidP="00725BF7">
      <w:pPr>
        <w:spacing w:line="240" w:lineRule="auto"/>
        <w:contextualSpacing/>
        <w:rPr>
          <w:lang w:val="es-ES"/>
        </w:rPr>
      </w:pPr>
    </w:p>
    <w:p w:rsidR="00725BF7" w:rsidRDefault="00725BF7" w:rsidP="00725BF7">
      <w:pPr>
        <w:spacing w:line="240" w:lineRule="auto"/>
        <w:contextualSpacing/>
        <w:jc w:val="both"/>
        <w:rPr>
          <w:lang w:val="es-ES"/>
        </w:rPr>
      </w:pPr>
      <w:r>
        <w:rPr>
          <w:lang w:val="es-ES"/>
        </w:rPr>
        <w:t xml:space="preserve">A continuación, se explica en forma detallada la distribución </w:t>
      </w:r>
      <w:r w:rsidR="0021063A">
        <w:rPr>
          <w:lang w:val="es-ES"/>
        </w:rPr>
        <w:t xml:space="preserve">de adición presupuestal, </w:t>
      </w:r>
      <w:r>
        <w:rPr>
          <w:lang w:val="es-ES"/>
        </w:rPr>
        <w:t>recursos del balance (excedentes financieros) para la vigencia fiscal 2020</w:t>
      </w:r>
      <w:r w:rsidR="0021063A">
        <w:rPr>
          <w:lang w:val="es-ES"/>
        </w:rPr>
        <w:t>, por un valor de DOS MIL SETECIENTOS CINCUENTA Y CUATRO MILLONES CINCO MIL OCHOCIENTOS CUARENTA Y SEIS PESOS ($2.754.005.846) M/L.</w:t>
      </w:r>
      <w:r w:rsidR="00934410">
        <w:rPr>
          <w:lang w:val="es-ES"/>
        </w:rPr>
        <w:t xml:space="preserve"> </w:t>
      </w:r>
      <w:r w:rsidR="00C61BBB" w:rsidRPr="00C61BBB">
        <w:rPr>
          <w:lang w:val="es-ES"/>
        </w:rPr>
        <w:t>Es de anotar Los recursos del Balance que se adicionarán al Presupuesto de Ingresos y Gastos del año 2020 del IES CINOC son producto de la diferencia entre los valores liquidados en el Presupuesto del año 2020, aprobados por el Consejo Directivo mediante Acuerdo Nº 017 de diciembre 17 de 2019   y los valores existentes en caja y bancos a diciembre 31 de 2019, valores que están siendo certificados por parte de las áreas de pagaduría y presupuesto de la Entidad.</w:t>
      </w:r>
    </w:p>
    <w:p w:rsidR="00C61BBB" w:rsidRDefault="00C61BBB" w:rsidP="00725BF7">
      <w:pPr>
        <w:spacing w:line="240" w:lineRule="auto"/>
        <w:contextualSpacing/>
        <w:jc w:val="both"/>
        <w:rPr>
          <w:lang w:val="es-ES"/>
        </w:rPr>
      </w:pPr>
    </w:p>
    <w:p w:rsidR="00C61BBB" w:rsidRPr="00C61BBB" w:rsidRDefault="00C61BBB" w:rsidP="00C61BBB">
      <w:pPr>
        <w:pStyle w:val="Prrafodelista"/>
        <w:numPr>
          <w:ilvl w:val="0"/>
          <w:numId w:val="8"/>
        </w:numPr>
        <w:spacing w:line="240" w:lineRule="auto"/>
        <w:jc w:val="both"/>
        <w:rPr>
          <w:lang w:val="es-ES"/>
        </w:rPr>
      </w:pPr>
      <w:r w:rsidRPr="00C61BBB">
        <w:rPr>
          <w:lang w:val="es-ES"/>
        </w:rPr>
        <w:t>Procedimiento para la Obtención del Valor Total de los Recursos del Balance del año 2019</w:t>
      </w:r>
    </w:p>
    <w:p w:rsidR="00C61BBB" w:rsidRPr="00C61BBB" w:rsidRDefault="00C61BBB" w:rsidP="00C61BBB">
      <w:pPr>
        <w:pStyle w:val="Prrafodelista"/>
        <w:spacing w:line="240" w:lineRule="auto"/>
        <w:jc w:val="both"/>
        <w:rPr>
          <w:lang w:val="es-ES"/>
        </w:rPr>
      </w:pPr>
    </w:p>
    <w:p w:rsidR="00C61BBB" w:rsidRPr="000D07DC" w:rsidRDefault="00C61BBB" w:rsidP="00C61BBB">
      <w:pPr>
        <w:pStyle w:val="Prrafodelista"/>
        <w:numPr>
          <w:ilvl w:val="0"/>
          <w:numId w:val="9"/>
        </w:numPr>
        <w:spacing w:line="240" w:lineRule="auto"/>
        <w:jc w:val="both"/>
        <w:rPr>
          <w:color w:val="FF0000"/>
          <w:lang w:val="es-ES"/>
        </w:rPr>
      </w:pPr>
      <w:r w:rsidRPr="00C61BBB">
        <w:rPr>
          <w:lang w:val="es-ES"/>
        </w:rPr>
        <w:t>Ingresos obtenidos de distintas fuentes de financiación:</w:t>
      </w:r>
      <w:r w:rsidRPr="000D07DC">
        <w:rPr>
          <w:color w:val="FF0000"/>
          <w:lang w:val="es-ES"/>
        </w:rPr>
        <w:t xml:space="preserve">  </w:t>
      </w:r>
    </w:p>
    <w:p w:rsidR="00C61BBB" w:rsidRDefault="00C61BBB" w:rsidP="00725BF7">
      <w:pPr>
        <w:spacing w:line="240" w:lineRule="auto"/>
        <w:contextualSpacing/>
        <w:jc w:val="both"/>
        <w:rPr>
          <w:lang w:val="es-ES"/>
        </w:rPr>
      </w:pPr>
    </w:p>
    <w:p w:rsidR="00725BF7" w:rsidRDefault="0021063A" w:rsidP="00862D79">
      <w:pPr>
        <w:spacing w:line="240" w:lineRule="auto"/>
        <w:jc w:val="both"/>
        <w:rPr>
          <w:lang w:val="es-ES"/>
        </w:rPr>
      </w:pPr>
      <w:r w:rsidRPr="00C61BBB">
        <w:rPr>
          <w:lang w:val="es-ES"/>
        </w:rPr>
        <w:t>U</w:t>
      </w:r>
      <w:r w:rsidR="00725BF7" w:rsidRPr="00C61BBB">
        <w:rPr>
          <w:lang w:val="es-ES"/>
        </w:rPr>
        <w:t>na vez realizado el cierre presupuestal a diciembre 31</w:t>
      </w:r>
      <w:r w:rsidRPr="00C61BBB">
        <w:rPr>
          <w:lang w:val="es-ES"/>
        </w:rPr>
        <w:t>,</w:t>
      </w:r>
      <w:r w:rsidR="00725BF7" w:rsidRPr="00C61BBB">
        <w:rPr>
          <w:lang w:val="es-ES"/>
        </w:rPr>
        <w:t xml:space="preserve"> de </w:t>
      </w:r>
      <w:r w:rsidRPr="00C61BBB">
        <w:rPr>
          <w:lang w:val="es-ES"/>
        </w:rPr>
        <w:t xml:space="preserve">la vigencia fiscal </w:t>
      </w:r>
      <w:r w:rsidR="00725BF7" w:rsidRPr="00C61BBB">
        <w:rPr>
          <w:lang w:val="es-ES"/>
        </w:rPr>
        <w:t>2019, se produj</w:t>
      </w:r>
      <w:r w:rsidRPr="00C61BBB">
        <w:rPr>
          <w:lang w:val="es-ES"/>
        </w:rPr>
        <w:t xml:space="preserve">o </w:t>
      </w:r>
      <w:r w:rsidR="00862D79" w:rsidRPr="00C61BBB">
        <w:rPr>
          <w:lang w:val="es-ES"/>
        </w:rPr>
        <w:t>un ahorro operacional, producto de recursos del balance (excedentes financieros) como se muestra en los siguientes cuadros:</w:t>
      </w:r>
    </w:p>
    <w:p w:rsidR="00862D79" w:rsidRDefault="00387147" w:rsidP="00862D79">
      <w:pPr>
        <w:spacing w:line="240" w:lineRule="auto"/>
        <w:jc w:val="both"/>
        <w:rPr>
          <w:lang w:val="es-ES"/>
        </w:rPr>
      </w:pPr>
      <w:r w:rsidRPr="00387147">
        <w:rPr>
          <w:noProof/>
          <w:lang w:eastAsia="es-CO"/>
        </w:rPr>
        <w:drawing>
          <wp:inline distT="0" distB="0" distL="0" distR="0">
            <wp:extent cx="5612130" cy="63099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630993"/>
                    </a:xfrm>
                    <a:prstGeom prst="rect">
                      <a:avLst/>
                    </a:prstGeom>
                    <a:noFill/>
                    <a:ln>
                      <a:noFill/>
                    </a:ln>
                  </pic:spPr>
                </pic:pic>
              </a:graphicData>
            </a:graphic>
          </wp:inline>
        </w:drawing>
      </w:r>
    </w:p>
    <w:p w:rsidR="00862D79" w:rsidRDefault="00862D79" w:rsidP="00862D79">
      <w:pPr>
        <w:spacing w:line="240" w:lineRule="auto"/>
        <w:jc w:val="both"/>
        <w:rPr>
          <w:lang w:val="es-ES"/>
        </w:rPr>
      </w:pPr>
      <w:r>
        <w:rPr>
          <w:lang w:val="es-ES"/>
        </w:rPr>
        <w:t xml:space="preserve">Ejecuciones presupuestales </w:t>
      </w:r>
      <w:r w:rsidR="00934410">
        <w:rPr>
          <w:lang w:val="es-ES"/>
        </w:rPr>
        <w:t xml:space="preserve">de gasto </w:t>
      </w:r>
      <w:r>
        <w:rPr>
          <w:lang w:val="es-ES"/>
        </w:rPr>
        <w:t>realizadas:</w:t>
      </w:r>
      <w:r w:rsidRPr="00862D79">
        <w:rPr>
          <w:lang w:val="es-ES"/>
        </w:rPr>
        <w:t xml:space="preserve">  </w:t>
      </w:r>
    </w:p>
    <w:p w:rsidR="00862D79" w:rsidRDefault="00387147" w:rsidP="00862D79">
      <w:pPr>
        <w:spacing w:line="240" w:lineRule="auto"/>
        <w:jc w:val="both"/>
        <w:rPr>
          <w:lang w:val="es-ES"/>
        </w:rPr>
      </w:pPr>
      <w:r w:rsidRPr="00387147">
        <w:rPr>
          <w:noProof/>
          <w:lang w:eastAsia="es-CO"/>
        </w:rPr>
        <w:drawing>
          <wp:inline distT="0" distB="0" distL="0" distR="0">
            <wp:extent cx="5612130" cy="452831"/>
            <wp:effectExtent l="0" t="0" r="762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52831"/>
                    </a:xfrm>
                    <a:prstGeom prst="rect">
                      <a:avLst/>
                    </a:prstGeom>
                    <a:noFill/>
                    <a:ln>
                      <a:noFill/>
                    </a:ln>
                  </pic:spPr>
                </pic:pic>
              </a:graphicData>
            </a:graphic>
          </wp:inline>
        </w:drawing>
      </w:r>
    </w:p>
    <w:p w:rsidR="00907A3F" w:rsidRDefault="00907A3F" w:rsidP="00862D79">
      <w:pPr>
        <w:spacing w:line="240" w:lineRule="auto"/>
        <w:jc w:val="both"/>
        <w:rPr>
          <w:lang w:val="es-ES"/>
        </w:rPr>
      </w:pPr>
      <w:r>
        <w:rPr>
          <w:lang w:val="es-ES"/>
        </w:rPr>
        <w:t>Recursos del balance obtenido del cierre presupuestal 2019</w:t>
      </w:r>
    </w:p>
    <w:p w:rsidR="00907A3F" w:rsidRDefault="00387147" w:rsidP="00862D79">
      <w:pPr>
        <w:spacing w:line="240" w:lineRule="auto"/>
        <w:jc w:val="both"/>
        <w:rPr>
          <w:lang w:val="es-ES"/>
        </w:rPr>
      </w:pPr>
      <w:r w:rsidRPr="00387147">
        <w:rPr>
          <w:noProof/>
          <w:lang w:eastAsia="es-CO"/>
        </w:rPr>
        <w:drawing>
          <wp:inline distT="0" distB="0" distL="0" distR="0">
            <wp:extent cx="5612130" cy="27466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74668"/>
                    </a:xfrm>
                    <a:prstGeom prst="rect">
                      <a:avLst/>
                    </a:prstGeom>
                    <a:noFill/>
                    <a:ln>
                      <a:noFill/>
                    </a:ln>
                  </pic:spPr>
                </pic:pic>
              </a:graphicData>
            </a:graphic>
          </wp:inline>
        </w:drawing>
      </w:r>
    </w:p>
    <w:p w:rsidR="00F578B7" w:rsidRDefault="00F578B7" w:rsidP="00862D79">
      <w:pPr>
        <w:spacing w:line="240" w:lineRule="auto"/>
        <w:jc w:val="both"/>
        <w:rPr>
          <w:lang w:val="es-ES"/>
        </w:rPr>
      </w:pPr>
      <w:r>
        <w:rPr>
          <w:lang w:val="es-ES"/>
        </w:rPr>
        <w:t xml:space="preserve">Los recursos del balance obtenidos por el cierre presupuestal 2019, son </w:t>
      </w:r>
      <w:r w:rsidR="00427BFC">
        <w:rPr>
          <w:lang w:val="es-ES"/>
        </w:rPr>
        <w:t xml:space="preserve">producto de unas menores ejecuciones en el gasto y a unos mayores ingresos </w:t>
      </w:r>
      <w:r>
        <w:rPr>
          <w:lang w:val="es-ES"/>
        </w:rPr>
        <w:t xml:space="preserve">en: </w:t>
      </w:r>
      <w:r w:rsidR="00427BFC">
        <w:rPr>
          <w:lang w:val="es-ES"/>
        </w:rPr>
        <w:t xml:space="preserve"> i) transferencias Men (Cooperativ</w:t>
      </w:r>
      <w:r w:rsidR="00934410">
        <w:rPr>
          <w:lang w:val="es-ES"/>
        </w:rPr>
        <w:t>a</w:t>
      </w:r>
      <w:r w:rsidR="00427BFC">
        <w:rPr>
          <w:lang w:val="es-ES"/>
        </w:rPr>
        <w:t xml:space="preserve">s </w:t>
      </w:r>
      <w:r w:rsidR="00934410">
        <w:rPr>
          <w:lang w:val="es-ES"/>
        </w:rPr>
        <w:t xml:space="preserve">y </w:t>
      </w:r>
      <w:r w:rsidR="00427BFC">
        <w:rPr>
          <w:lang w:val="es-ES"/>
        </w:rPr>
        <w:t>planes de fomento a la calidad)</w:t>
      </w:r>
      <w:r w:rsidR="00934410">
        <w:rPr>
          <w:lang w:val="es-ES"/>
        </w:rPr>
        <w:t>,</w:t>
      </w:r>
      <w:r w:rsidR="00427BFC">
        <w:rPr>
          <w:lang w:val="es-ES"/>
        </w:rPr>
        <w:t xml:space="preserve"> ii) Rendimientos financieros producto de colocación de excedentes de caja y iii</w:t>
      </w:r>
      <w:r w:rsidR="003A79C4">
        <w:rPr>
          <w:lang w:val="es-ES"/>
        </w:rPr>
        <w:t>) devolución</w:t>
      </w:r>
      <w:r w:rsidR="00427BFC">
        <w:rPr>
          <w:lang w:val="es-ES"/>
        </w:rPr>
        <w:t xml:space="preserve"> de IVA Universidades</w:t>
      </w:r>
      <w:r>
        <w:rPr>
          <w:lang w:val="es-ES"/>
        </w:rPr>
        <w:t>.</w:t>
      </w:r>
    </w:p>
    <w:p w:rsidR="00C61BBB" w:rsidRPr="00C61BBB" w:rsidRDefault="00C61BBB" w:rsidP="00C61BBB">
      <w:pPr>
        <w:pStyle w:val="Prrafodelista"/>
        <w:numPr>
          <w:ilvl w:val="0"/>
          <w:numId w:val="9"/>
        </w:numPr>
        <w:spacing w:line="240" w:lineRule="auto"/>
        <w:jc w:val="both"/>
        <w:rPr>
          <w:lang w:val="es-ES"/>
        </w:rPr>
      </w:pPr>
      <w:r w:rsidRPr="00C61BBB">
        <w:rPr>
          <w:lang w:val="es-ES"/>
        </w:rPr>
        <w:t>Comparación entre lo liquidado en Presupuesto 2020 y lo existente en Caja y Bancos a diciembre 31 de 2019</w:t>
      </w:r>
    </w:p>
    <w:p w:rsidR="00C61BBB" w:rsidRPr="00C61BBB" w:rsidRDefault="00C61BBB" w:rsidP="00C61BBB">
      <w:pPr>
        <w:spacing w:line="240" w:lineRule="auto"/>
        <w:ind w:left="360"/>
        <w:jc w:val="both"/>
        <w:rPr>
          <w:lang w:val="es-ES"/>
        </w:rPr>
      </w:pPr>
    </w:p>
    <w:p w:rsidR="00F36391" w:rsidRPr="00C61BBB" w:rsidRDefault="00F578B7" w:rsidP="00C61BBB">
      <w:pPr>
        <w:pStyle w:val="Prrafodelista"/>
        <w:numPr>
          <w:ilvl w:val="0"/>
          <w:numId w:val="11"/>
        </w:numPr>
        <w:spacing w:line="240" w:lineRule="auto"/>
        <w:jc w:val="both"/>
        <w:rPr>
          <w:lang w:val="es-ES"/>
        </w:rPr>
      </w:pPr>
      <w:r w:rsidRPr="00C61BBB">
        <w:rPr>
          <w:lang w:val="es-ES"/>
        </w:rPr>
        <w:t xml:space="preserve">El 17 de diciembre de 2019 el Consejo Directivo, </w:t>
      </w:r>
      <w:r w:rsidR="003A79C4" w:rsidRPr="00C61BBB">
        <w:rPr>
          <w:lang w:val="es-ES"/>
        </w:rPr>
        <w:t xml:space="preserve">mediante acuerdo 017, </w:t>
      </w:r>
      <w:r w:rsidRPr="00C61BBB">
        <w:rPr>
          <w:lang w:val="es-ES"/>
        </w:rPr>
        <w:t>liquido el pres</w:t>
      </w:r>
      <w:r w:rsidR="003A79C4" w:rsidRPr="00C61BBB">
        <w:rPr>
          <w:lang w:val="es-ES"/>
        </w:rPr>
        <w:t>u</w:t>
      </w:r>
      <w:r w:rsidRPr="00C61BBB">
        <w:rPr>
          <w:lang w:val="es-ES"/>
        </w:rPr>
        <w:t>puesto de ingresos y gastos de la IES CINOC, para la vigencia 2020</w:t>
      </w:r>
      <w:r w:rsidR="00934410" w:rsidRPr="00C61BBB">
        <w:rPr>
          <w:lang w:val="es-ES"/>
        </w:rPr>
        <w:t>;</w:t>
      </w:r>
      <w:r w:rsidRPr="00C61BBB">
        <w:rPr>
          <w:lang w:val="es-ES"/>
        </w:rPr>
        <w:t xml:space="preserve"> </w:t>
      </w:r>
      <w:r w:rsidR="00F36391" w:rsidRPr="00C61BBB">
        <w:rPr>
          <w:lang w:val="es-ES"/>
        </w:rPr>
        <w:t>en e</w:t>
      </w:r>
      <w:r w:rsidR="003A79C4" w:rsidRPr="00C61BBB">
        <w:rPr>
          <w:lang w:val="es-ES"/>
        </w:rPr>
        <w:t>sta liquidación</w:t>
      </w:r>
      <w:r w:rsidRPr="00C61BBB">
        <w:rPr>
          <w:lang w:val="es-ES"/>
        </w:rPr>
        <w:t xml:space="preserve">, </w:t>
      </w:r>
      <w:r w:rsidR="003A79C4" w:rsidRPr="00C61BBB">
        <w:rPr>
          <w:lang w:val="es-ES"/>
        </w:rPr>
        <w:t xml:space="preserve">se relacionan unos recursos del balance proyectados </w:t>
      </w:r>
      <w:r w:rsidR="00F36391" w:rsidRPr="00C61BBB">
        <w:rPr>
          <w:lang w:val="es-ES"/>
        </w:rPr>
        <w:t xml:space="preserve">por valor de MIL OCHOCIENTOS DIECIOCHO MILLONES QUINIENTOS SESENTA Y SEIS MIL CIENTO NOVENTA Y CUATRO PESOS ($1.818.566.194), los cuales fueron distribuidos de acuerdo a cada fuente de financiación </w:t>
      </w:r>
      <w:r w:rsidR="00B37367" w:rsidRPr="00C61BBB">
        <w:rPr>
          <w:lang w:val="es-ES"/>
        </w:rPr>
        <w:t xml:space="preserve">y a las necesidades institucionales </w:t>
      </w:r>
      <w:r w:rsidR="00F36391" w:rsidRPr="00C61BBB">
        <w:rPr>
          <w:lang w:val="es-ES"/>
        </w:rPr>
        <w:t xml:space="preserve">en gastos de funcionamiento </w:t>
      </w:r>
      <w:r w:rsidR="00B37367" w:rsidRPr="00C61BBB">
        <w:rPr>
          <w:lang w:val="es-ES"/>
        </w:rPr>
        <w:t>e</w:t>
      </w:r>
      <w:r w:rsidR="00F36391" w:rsidRPr="00C61BBB">
        <w:rPr>
          <w:lang w:val="es-ES"/>
        </w:rPr>
        <w:t xml:space="preserve"> inversión</w:t>
      </w:r>
      <w:r w:rsidR="00934410" w:rsidRPr="00C61BBB">
        <w:rPr>
          <w:lang w:val="es-ES"/>
        </w:rPr>
        <w:t>.</w:t>
      </w:r>
    </w:p>
    <w:p w:rsidR="00B37367" w:rsidRDefault="00B37367" w:rsidP="00B37367">
      <w:pPr>
        <w:pStyle w:val="Prrafodelista"/>
        <w:spacing w:line="240" w:lineRule="auto"/>
        <w:ind w:left="360"/>
        <w:jc w:val="both"/>
        <w:rPr>
          <w:lang w:val="es-ES"/>
        </w:rPr>
      </w:pPr>
    </w:p>
    <w:p w:rsidR="00B37367" w:rsidRPr="00C61BBB" w:rsidRDefault="00B37367" w:rsidP="00C61BBB">
      <w:pPr>
        <w:pStyle w:val="Prrafodelista"/>
        <w:numPr>
          <w:ilvl w:val="0"/>
          <w:numId w:val="11"/>
        </w:numPr>
        <w:spacing w:line="240" w:lineRule="auto"/>
        <w:jc w:val="both"/>
        <w:rPr>
          <w:lang w:val="es-ES"/>
        </w:rPr>
      </w:pPr>
      <w:r w:rsidRPr="00C61BBB">
        <w:rPr>
          <w:lang w:val="es-ES"/>
        </w:rPr>
        <w:t>Realizando un comparativo entre los recursos del balance relacionados en el acuerdo 17 del 17 de diciembre de 2019 y los recursos del balance reales obtenidos después del cierre presupuestal 2019, se obtiene una diferencia de DOS MIL SETECIENTOS CINCUENTA Y CUATRO MILLONES CINCO MIL OCHOCIENTOS CUARENTA Y SEIS PESOS ($2.754.005.846)</w:t>
      </w:r>
      <w:r w:rsidR="00F96366" w:rsidRPr="00C61BBB">
        <w:rPr>
          <w:lang w:val="es-ES"/>
        </w:rPr>
        <w:t>, que debe ser adicionada al pres</w:t>
      </w:r>
      <w:r w:rsidR="00275331" w:rsidRPr="00C61BBB">
        <w:rPr>
          <w:lang w:val="es-ES"/>
        </w:rPr>
        <w:t>u</w:t>
      </w:r>
      <w:r w:rsidR="00F96366" w:rsidRPr="00C61BBB">
        <w:rPr>
          <w:lang w:val="es-ES"/>
        </w:rPr>
        <w:t>p</w:t>
      </w:r>
      <w:r w:rsidR="00275331" w:rsidRPr="00C61BBB">
        <w:rPr>
          <w:lang w:val="es-ES"/>
        </w:rPr>
        <w:t>u</w:t>
      </w:r>
      <w:r w:rsidR="00F96366" w:rsidRPr="00C61BBB">
        <w:rPr>
          <w:lang w:val="es-ES"/>
        </w:rPr>
        <w:t xml:space="preserve">esto de ingresos y gastos de la IES CINOC, año </w:t>
      </w:r>
      <w:r w:rsidR="00CE391F" w:rsidRPr="00C61BBB">
        <w:rPr>
          <w:lang w:val="es-ES"/>
        </w:rPr>
        <w:t>2020, como</w:t>
      </w:r>
      <w:r w:rsidRPr="00C61BBB">
        <w:rPr>
          <w:lang w:val="es-ES"/>
        </w:rPr>
        <w:t xml:space="preserve"> se muestra a continuación:</w:t>
      </w:r>
    </w:p>
    <w:p w:rsidR="00B37367" w:rsidRDefault="00B37367" w:rsidP="00B37367">
      <w:pPr>
        <w:pStyle w:val="Prrafodelista"/>
        <w:rPr>
          <w:lang w:val="es-ES"/>
        </w:rPr>
      </w:pPr>
    </w:p>
    <w:p w:rsidR="00B37367" w:rsidRPr="00B37367" w:rsidRDefault="00387147" w:rsidP="00B37367">
      <w:pPr>
        <w:pStyle w:val="Prrafodelista"/>
        <w:ind w:left="0"/>
        <w:rPr>
          <w:lang w:val="es-ES"/>
        </w:rPr>
      </w:pPr>
      <w:r w:rsidRPr="00387147">
        <w:rPr>
          <w:noProof/>
          <w:lang w:eastAsia="es-CO"/>
        </w:rPr>
        <w:drawing>
          <wp:inline distT="0" distB="0" distL="0" distR="0">
            <wp:extent cx="5612130" cy="452831"/>
            <wp:effectExtent l="0" t="0" r="762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52831"/>
                    </a:xfrm>
                    <a:prstGeom prst="rect">
                      <a:avLst/>
                    </a:prstGeom>
                    <a:noFill/>
                    <a:ln>
                      <a:noFill/>
                    </a:ln>
                  </pic:spPr>
                </pic:pic>
              </a:graphicData>
            </a:graphic>
          </wp:inline>
        </w:drawing>
      </w:r>
    </w:p>
    <w:p w:rsidR="00B37367" w:rsidRPr="00B37367" w:rsidRDefault="00B37367" w:rsidP="00B37367">
      <w:pPr>
        <w:pStyle w:val="Prrafodelista"/>
        <w:rPr>
          <w:lang w:val="es-ES"/>
        </w:rPr>
      </w:pPr>
    </w:p>
    <w:p w:rsidR="00C61BBB" w:rsidRPr="00C61BBB" w:rsidRDefault="000F0EC6" w:rsidP="00C61BBB">
      <w:pPr>
        <w:spacing w:line="240" w:lineRule="auto"/>
        <w:jc w:val="both"/>
        <w:rPr>
          <w:lang w:val="es-ES"/>
        </w:rPr>
      </w:pPr>
      <w:r w:rsidRPr="00C61BBB">
        <w:rPr>
          <w:lang w:val="es-ES"/>
        </w:rPr>
        <w:t xml:space="preserve">Los recursos del balance a adicionar por valor </w:t>
      </w:r>
      <w:r w:rsidR="00DB715E" w:rsidRPr="00C61BBB">
        <w:rPr>
          <w:lang w:val="es-ES"/>
        </w:rPr>
        <w:t xml:space="preserve">DOS MIL SETECIENTOS CINCUENTA Y CUATRO MILLONES CINCO MIL OCHOCIENTOS CUARENTA Y SEIS PESOS ($2.754.005.846), </w:t>
      </w:r>
    </w:p>
    <w:p w:rsidR="00C61BBB" w:rsidRPr="00C61BBB" w:rsidRDefault="00C61BBB" w:rsidP="00C61BBB">
      <w:pPr>
        <w:spacing w:line="240" w:lineRule="auto"/>
        <w:jc w:val="both"/>
        <w:rPr>
          <w:b/>
          <w:lang w:val="es-ES"/>
        </w:rPr>
      </w:pPr>
      <w:r w:rsidRPr="00C61BBB">
        <w:rPr>
          <w:b/>
          <w:lang w:val="es-ES"/>
        </w:rPr>
        <w:t>Explicaciones de la Asignación de los Recursos del Balance según las fuentes de</w:t>
      </w:r>
      <w:r w:rsidRPr="00C61BBB">
        <w:rPr>
          <w:lang w:val="es-ES"/>
        </w:rPr>
        <w:t xml:space="preserve"> </w:t>
      </w:r>
      <w:r w:rsidRPr="00C61BBB">
        <w:rPr>
          <w:b/>
          <w:lang w:val="es-ES"/>
        </w:rPr>
        <w:t xml:space="preserve">financiación </w:t>
      </w:r>
    </w:p>
    <w:p w:rsidR="00C61BBB" w:rsidRPr="00C61BBB" w:rsidRDefault="00C61BBB" w:rsidP="00C61BBB">
      <w:pPr>
        <w:spacing w:line="240" w:lineRule="auto"/>
        <w:jc w:val="both"/>
        <w:rPr>
          <w:lang w:val="es-ES"/>
        </w:rPr>
      </w:pPr>
      <w:r w:rsidRPr="00C61BBB">
        <w:rPr>
          <w:lang w:val="es-ES"/>
        </w:rPr>
        <w:t>Para la asignación de los recursos del balance se revisó de manera puntual cada uno de los proyectos establecidos en el Plan de Desarrollo Institucional 2020-2023 y el Plan Operativo de la vigencia 2020 de tal manera que los recursos sean asignados de acuerdo a las prioridades establecidas en los documentos estratégicos de la entidad.</w:t>
      </w:r>
    </w:p>
    <w:p w:rsidR="00C61BBB" w:rsidRPr="00C61BBB" w:rsidRDefault="00C61BBB" w:rsidP="00C61BBB">
      <w:pPr>
        <w:spacing w:line="240" w:lineRule="auto"/>
        <w:jc w:val="both"/>
        <w:rPr>
          <w:lang w:val="es-ES"/>
        </w:rPr>
      </w:pPr>
      <w:r w:rsidRPr="00C61BBB">
        <w:rPr>
          <w:lang w:val="es-ES"/>
        </w:rPr>
        <w:t xml:space="preserve">Para el efecto cada uno de los valores a asignar esta soportada en las metas a cumplir durante el año 2020 en cada </w:t>
      </w:r>
      <w:proofErr w:type="gramStart"/>
      <w:r w:rsidRPr="00C61BBB">
        <w:rPr>
          <w:lang w:val="es-ES"/>
        </w:rPr>
        <w:t>una  las</w:t>
      </w:r>
      <w:proofErr w:type="gramEnd"/>
      <w:r w:rsidRPr="00C61BBB">
        <w:rPr>
          <w:lang w:val="es-ES"/>
        </w:rPr>
        <w:t xml:space="preserve"> variables y proyectos estratégicos de la entidad así:</w:t>
      </w:r>
    </w:p>
    <w:tbl>
      <w:tblPr>
        <w:tblStyle w:val="Tablaconcuadrcula"/>
        <w:tblW w:w="0" w:type="auto"/>
        <w:tblLook w:val="04A0" w:firstRow="1" w:lastRow="0" w:firstColumn="1" w:lastColumn="0" w:noHBand="0" w:noVBand="1"/>
      </w:tblPr>
      <w:tblGrid>
        <w:gridCol w:w="1972"/>
        <w:gridCol w:w="1567"/>
        <w:gridCol w:w="3653"/>
      </w:tblGrid>
      <w:tr w:rsidR="00C61BBB" w:rsidRPr="00C61BBB" w:rsidTr="0042538C">
        <w:trPr>
          <w:trHeight w:val="400"/>
        </w:trPr>
        <w:tc>
          <w:tcPr>
            <w:tcW w:w="1972" w:type="dxa"/>
            <w:hideMark/>
          </w:tcPr>
          <w:p w:rsidR="00C61BBB" w:rsidRPr="00C61BBB" w:rsidRDefault="00C61BBB" w:rsidP="0042538C">
            <w:pPr>
              <w:jc w:val="both"/>
              <w:rPr>
                <w:b/>
                <w:bCs/>
              </w:rPr>
            </w:pPr>
            <w:r w:rsidRPr="00C61BBB">
              <w:rPr>
                <w:b/>
                <w:bCs/>
              </w:rPr>
              <w:t>Variable</w:t>
            </w:r>
          </w:p>
        </w:tc>
        <w:tc>
          <w:tcPr>
            <w:tcW w:w="1567" w:type="dxa"/>
            <w:hideMark/>
          </w:tcPr>
          <w:p w:rsidR="00C61BBB" w:rsidRPr="00C61BBB" w:rsidRDefault="00C61BBB" w:rsidP="0042538C">
            <w:pPr>
              <w:jc w:val="both"/>
              <w:rPr>
                <w:b/>
                <w:bCs/>
              </w:rPr>
            </w:pPr>
            <w:r w:rsidRPr="00C61BBB">
              <w:rPr>
                <w:b/>
                <w:bCs/>
              </w:rPr>
              <w:t>Código Proyecto</w:t>
            </w:r>
          </w:p>
        </w:tc>
        <w:tc>
          <w:tcPr>
            <w:tcW w:w="3653" w:type="dxa"/>
            <w:hideMark/>
          </w:tcPr>
          <w:p w:rsidR="00C61BBB" w:rsidRPr="00C61BBB" w:rsidRDefault="00C61BBB" w:rsidP="0042538C">
            <w:pPr>
              <w:jc w:val="both"/>
              <w:rPr>
                <w:b/>
                <w:bCs/>
              </w:rPr>
            </w:pPr>
            <w:r w:rsidRPr="00C61BBB">
              <w:rPr>
                <w:b/>
                <w:bCs/>
              </w:rPr>
              <w:t>Nombre Proyecto</w:t>
            </w:r>
          </w:p>
        </w:tc>
      </w:tr>
      <w:tr w:rsidR="00C61BBB" w:rsidRPr="00C61BBB" w:rsidTr="0042538C">
        <w:trPr>
          <w:trHeight w:val="200"/>
        </w:trPr>
        <w:tc>
          <w:tcPr>
            <w:tcW w:w="1972" w:type="dxa"/>
            <w:vMerge w:val="restart"/>
            <w:hideMark/>
          </w:tcPr>
          <w:p w:rsidR="00C61BBB" w:rsidRPr="00C61BBB" w:rsidRDefault="00C61BBB" w:rsidP="0042538C">
            <w:pPr>
              <w:jc w:val="both"/>
              <w:rPr>
                <w:b/>
                <w:bCs/>
              </w:rPr>
            </w:pPr>
            <w:r w:rsidRPr="00C61BBB">
              <w:rPr>
                <w:b/>
                <w:bCs/>
              </w:rPr>
              <w:t>Financiera</w:t>
            </w:r>
          </w:p>
        </w:tc>
        <w:tc>
          <w:tcPr>
            <w:tcW w:w="1567" w:type="dxa"/>
            <w:hideMark/>
          </w:tcPr>
          <w:p w:rsidR="00C61BBB" w:rsidRPr="00C61BBB" w:rsidRDefault="00C61BBB" w:rsidP="0042538C">
            <w:pPr>
              <w:jc w:val="both"/>
            </w:pPr>
            <w:r w:rsidRPr="00C61BBB">
              <w:t>VF P1</w:t>
            </w:r>
          </w:p>
        </w:tc>
        <w:tc>
          <w:tcPr>
            <w:tcW w:w="3653" w:type="dxa"/>
            <w:hideMark/>
          </w:tcPr>
          <w:p w:rsidR="00C61BBB" w:rsidRPr="00C61BBB" w:rsidRDefault="00C61BBB" w:rsidP="0042538C">
            <w:pPr>
              <w:jc w:val="both"/>
            </w:pPr>
            <w:r w:rsidRPr="00C61BBB">
              <w:t>Gestión Financiera</w:t>
            </w:r>
          </w:p>
        </w:tc>
      </w:tr>
      <w:tr w:rsidR="00C61BBB" w:rsidRPr="00C61BBB" w:rsidTr="0042538C">
        <w:trPr>
          <w:trHeight w:val="200"/>
        </w:trPr>
        <w:tc>
          <w:tcPr>
            <w:tcW w:w="1972" w:type="dxa"/>
            <w:vMerge/>
            <w:hideMark/>
          </w:tcPr>
          <w:p w:rsidR="00C61BBB" w:rsidRPr="00C61BBB" w:rsidRDefault="00C61BBB" w:rsidP="0042538C">
            <w:pPr>
              <w:jc w:val="both"/>
              <w:rPr>
                <w:b/>
                <w:bCs/>
              </w:rPr>
            </w:pPr>
          </w:p>
        </w:tc>
        <w:tc>
          <w:tcPr>
            <w:tcW w:w="1567" w:type="dxa"/>
            <w:hideMark/>
          </w:tcPr>
          <w:p w:rsidR="00C61BBB" w:rsidRPr="00C61BBB" w:rsidRDefault="00C61BBB" w:rsidP="0042538C">
            <w:pPr>
              <w:jc w:val="both"/>
            </w:pPr>
            <w:r w:rsidRPr="00C61BBB">
              <w:t>VF P4</w:t>
            </w:r>
          </w:p>
        </w:tc>
        <w:tc>
          <w:tcPr>
            <w:tcW w:w="3653" w:type="dxa"/>
            <w:hideMark/>
          </w:tcPr>
          <w:p w:rsidR="00C61BBB" w:rsidRPr="00C61BBB" w:rsidRDefault="00C61BBB" w:rsidP="0042538C">
            <w:pPr>
              <w:jc w:val="both"/>
            </w:pPr>
            <w:r w:rsidRPr="00C61BBB">
              <w:t>Gestión Contractual</w:t>
            </w:r>
          </w:p>
        </w:tc>
      </w:tr>
      <w:tr w:rsidR="00C61BBB" w:rsidRPr="00C61BBB" w:rsidTr="0042538C">
        <w:trPr>
          <w:trHeight w:val="200"/>
        </w:trPr>
        <w:tc>
          <w:tcPr>
            <w:tcW w:w="1972" w:type="dxa"/>
            <w:noWrap/>
            <w:hideMark/>
          </w:tcPr>
          <w:p w:rsidR="00C61BBB" w:rsidRPr="00C61BBB" w:rsidRDefault="00C61BBB" w:rsidP="0042538C">
            <w:pPr>
              <w:jc w:val="both"/>
              <w:rPr>
                <w:b/>
                <w:bCs/>
              </w:rPr>
            </w:pPr>
            <w:r w:rsidRPr="00C61BBB">
              <w:rPr>
                <w:b/>
                <w:bCs/>
              </w:rPr>
              <w:t>Visibilidad</w:t>
            </w:r>
          </w:p>
        </w:tc>
        <w:tc>
          <w:tcPr>
            <w:tcW w:w="1567" w:type="dxa"/>
            <w:hideMark/>
          </w:tcPr>
          <w:p w:rsidR="00C61BBB" w:rsidRPr="00C61BBB" w:rsidRDefault="00C61BBB" w:rsidP="0042538C">
            <w:pPr>
              <w:jc w:val="both"/>
            </w:pPr>
            <w:r w:rsidRPr="00C61BBB">
              <w:t>VV P1</w:t>
            </w:r>
          </w:p>
        </w:tc>
        <w:tc>
          <w:tcPr>
            <w:tcW w:w="3653" w:type="dxa"/>
            <w:hideMark/>
          </w:tcPr>
          <w:p w:rsidR="00C61BBB" w:rsidRPr="00C61BBB" w:rsidRDefault="00C61BBB" w:rsidP="0042538C">
            <w:pPr>
              <w:jc w:val="both"/>
            </w:pPr>
            <w:r w:rsidRPr="00C61BBB">
              <w:t>Visibilidad Institucional</w:t>
            </w:r>
          </w:p>
        </w:tc>
      </w:tr>
      <w:tr w:rsidR="00C61BBB" w:rsidRPr="00C61BBB" w:rsidTr="0042538C">
        <w:trPr>
          <w:trHeight w:val="200"/>
        </w:trPr>
        <w:tc>
          <w:tcPr>
            <w:tcW w:w="1972" w:type="dxa"/>
            <w:vMerge w:val="restart"/>
            <w:hideMark/>
          </w:tcPr>
          <w:p w:rsidR="00C61BBB" w:rsidRPr="00C61BBB" w:rsidRDefault="00C61BBB" w:rsidP="0042538C">
            <w:pPr>
              <w:jc w:val="both"/>
              <w:rPr>
                <w:b/>
                <w:bCs/>
              </w:rPr>
            </w:pPr>
            <w:r w:rsidRPr="00C61BBB">
              <w:rPr>
                <w:b/>
                <w:bCs/>
              </w:rPr>
              <w:t>Investigación, Proyección Social e Internacionalización</w:t>
            </w:r>
          </w:p>
        </w:tc>
        <w:tc>
          <w:tcPr>
            <w:tcW w:w="1567" w:type="dxa"/>
            <w:noWrap/>
            <w:hideMark/>
          </w:tcPr>
          <w:p w:rsidR="00C61BBB" w:rsidRPr="00C61BBB" w:rsidRDefault="00C61BBB" w:rsidP="0042538C">
            <w:pPr>
              <w:jc w:val="both"/>
            </w:pPr>
            <w:r w:rsidRPr="00C61BBB">
              <w:t>VIPSI P1</w:t>
            </w:r>
          </w:p>
        </w:tc>
        <w:tc>
          <w:tcPr>
            <w:tcW w:w="3653" w:type="dxa"/>
            <w:hideMark/>
          </w:tcPr>
          <w:p w:rsidR="00C61BBB" w:rsidRPr="00C61BBB" w:rsidRDefault="00C61BBB" w:rsidP="0042538C">
            <w:pPr>
              <w:jc w:val="both"/>
            </w:pPr>
            <w:r w:rsidRPr="00C61BBB">
              <w:t>Grupo de Investigación</w:t>
            </w:r>
          </w:p>
        </w:tc>
      </w:tr>
      <w:tr w:rsidR="00C61BBB" w:rsidRPr="00C61BBB" w:rsidTr="0042538C">
        <w:trPr>
          <w:trHeight w:val="20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VIPSI P2</w:t>
            </w:r>
          </w:p>
        </w:tc>
        <w:tc>
          <w:tcPr>
            <w:tcW w:w="3653" w:type="dxa"/>
            <w:hideMark/>
          </w:tcPr>
          <w:p w:rsidR="00C61BBB" w:rsidRPr="00C61BBB" w:rsidRDefault="00C61BBB" w:rsidP="0042538C">
            <w:pPr>
              <w:jc w:val="both"/>
            </w:pPr>
            <w:r w:rsidRPr="00C61BBB">
              <w:t>Semillero de Investigación</w:t>
            </w:r>
          </w:p>
        </w:tc>
      </w:tr>
      <w:tr w:rsidR="00C61BBB" w:rsidRPr="00C61BBB" w:rsidTr="0042538C">
        <w:trPr>
          <w:trHeight w:val="20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VIPSI P4</w:t>
            </w:r>
          </w:p>
        </w:tc>
        <w:tc>
          <w:tcPr>
            <w:tcW w:w="3653" w:type="dxa"/>
            <w:hideMark/>
          </w:tcPr>
          <w:p w:rsidR="00C61BBB" w:rsidRPr="00C61BBB" w:rsidRDefault="00C61BBB" w:rsidP="0042538C">
            <w:pPr>
              <w:jc w:val="both"/>
            </w:pPr>
            <w:r w:rsidRPr="00C61BBB">
              <w:t>Proyectos de Investigación</w:t>
            </w:r>
          </w:p>
        </w:tc>
      </w:tr>
      <w:tr w:rsidR="00C61BBB" w:rsidRPr="00C61BBB" w:rsidTr="0042538C">
        <w:trPr>
          <w:trHeight w:val="20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VIPSI P5</w:t>
            </w:r>
          </w:p>
        </w:tc>
        <w:tc>
          <w:tcPr>
            <w:tcW w:w="3653" w:type="dxa"/>
            <w:noWrap/>
            <w:hideMark/>
          </w:tcPr>
          <w:p w:rsidR="00C61BBB" w:rsidRPr="00C61BBB" w:rsidRDefault="00C61BBB" w:rsidP="0042538C">
            <w:pPr>
              <w:jc w:val="both"/>
            </w:pPr>
            <w:r w:rsidRPr="00C61BBB">
              <w:t>Proyección Social</w:t>
            </w:r>
          </w:p>
        </w:tc>
      </w:tr>
      <w:tr w:rsidR="00C61BBB" w:rsidRPr="00C61BBB" w:rsidTr="0042538C">
        <w:trPr>
          <w:trHeight w:val="20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VIPSI P7</w:t>
            </w:r>
          </w:p>
        </w:tc>
        <w:tc>
          <w:tcPr>
            <w:tcW w:w="3653" w:type="dxa"/>
            <w:noWrap/>
            <w:hideMark/>
          </w:tcPr>
          <w:p w:rsidR="00C61BBB" w:rsidRPr="00C61BBB" w:rsidRDefault="00C61BBB" w:rsidP="0042538C">
            <w:pPr>
              <w:jc w:val="both"/>
            </w:pPr>
            <w:r w:rsidRPr="00C61BBB">
              <w:t>Internacionalización</w:t>
            </w:r>
          </w:p>
        </w:tc>
      </w:tr>
      <w:tr w:rsidR="00C61BBB" w:rsidRPr="00C61BBB" w:rsidTr="0042538C">
        <w:trPr>
          <w:trHeight w:val="200"/>
        </w:trPr>
        <w:tc>
          <w:tcPr>
            <w:tcW w:w="1972" w:type="dxa"/>
            <w:vMerge w:val="restart"/>
            <w:hideMark/>
          </w:tcPr>
          <w:p w:rsidR="00C61BBB" w:rsidRPr="00C61BBB" w:rsidRDefault="00C61BBB" w:rsidP="0042538C">
            <w:pPr>
              <w:jc w:val="both"/>
              <w:rPr>
                <w:b/>
                <w:bCs/>
              </w:rPr>
            </w:pPr>
            <w:r w:rsidRPr="00C61BBB">
              <w:rPr>
                <w:b/>
                <w:bCs/>
              </w:rPr>
              <w:t>Oferta y Calidad de Programas y Servicios</w:t>
            </w:r>
          </w:p>
        </w:tc>
        <w:tc>
          <w:tcPr>
            <w:tcW w:w="1567" w:type="dxa"/>
            <w:noWrap/>
            <w:hideMark/>
          </w:tcPr>
          <w:p w:rsidR="00C61BBB" w:rsidRPr="00C61BBB" w:rsidRDefault="00C61BBB" w:rsidP="0042538C">
            <w:pPr>
              <w:jc w:val="both"/>
            </w:pPr>
            <w:r w:rsidRPr="00C61BBB">
              <w:t>VOC P1</w:t>
            </w:r>
          </w:p>
        </w:tc>
        <w:tc>
          <w:tcPr>
            <w:tcW w:w="3653" w:type="dxa"/>
            <w:hideMark/>
          </w:tcPr>
          <w:p w:rsidR="00C61BBB" w:rsidRPr="00C61BBB" w:rsidRDefault="00C61BBB" w:rsidP="0042538C">
            <w:pPr>
              <w:jc w:val="both"/>
            </w:pPr>
            <w:r w:rsidRPr="00C61BBB">
              <w:t>Acreditación</w:t>
            </w:r>
          </w:p>
        </w:tc>
      </w:tr>
      <w:tr w:rsidR="00C61BBB" w:rsidRPr="00C61BBB" w:rsidTr="0042538C">
        <w:trPr>
          <w:trHeight w:val="20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VOC P3</w:t>
            </w:r>
          </w:p>
        </w:tc>
        <w:tc>
          <w:tcPr>
            <w:tcW w:w="3653" w:type="dxa"/>
            <w:hideMark/>
          </w:tcPr>
          <w:p w:rsidR="00C61BBB" w:rsidRPr="00C61BBB" w:rsidRDefault="00C61BBB" w:rsidP="0042538C">
            <w:pPr>
              <w:jc w:val="both"/>
            </w:pPr>
            <w:r w:rsidRPr="00C61BBB">
              <w:t>Creación de Nuevos Programas</w:t>
            </w:r>
          </w:p>
        </w:tc>
      </w:tr>
      <w:tr w:rsidR="00C61BBB" w:rsidRPr="00C61BBB" w:rsidTr="0042538C">
        <w:trPr>
          <w:trHeight w:val="20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VOC P4</w:t>
            </w:r>
          </w:p>
        </w:tc>
        <w:tc>
          <w:tcPr>
            <w:tcW w:w="3653" w:type="dxa"/>
            <w:vMerge w:val="restart"/>
            <w:hideMark/>
          </w:tcPr>
          <w:p w:rsidR="00C61BBB" w:rsidRPr="00C61BBB" w:rsidRDefault="00C61BBB" w:rsidP="0042538C">
            <w:pPr>
              <w:jc w:val="both"/>
            </w:pPr>
            <w:r w:rsidRPr="00C61BBB">
              <w:t>Regionalización y Fomento a la Educación Superior Rural</w:t>
            </w:r>
          </w:p>
        </w:tc>
      </w:tr>
      <w:tr w:rsidR="00C61BBB" w:rsidRPr="00C61BBB" w:rsidTr="0042538C">
        <w:trPr>
          <w:trHeight w:val="20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 </w:t>
            </w:r>
          </w:p>
        </w:tc>
        <w:tc>
          <w:tcPr>
            <w:tcW w:w="3653" w:type="dxa"/>
            <w:vMerge/>
            <w:hideMark/>
          </w:tcPr>
          <w:p w:rsidR="00C61BBB" w:rsidRPr="00C61BBB" w:rsidRDefault="00C61BBB" w:rsidP="0042538C">
            <w:pPr>
              <w:jc w:val="both"/>
            </w:pPr>
          </w:p>
        </w:tc>
      </w:tr>
      <w:tr w:rsidR="00C61BBB" w:rsidRPr="00C61BBB" w:rsidTr="0042538C">
        <w:trPr>
          <w:trHeight w:val="40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VOC P5</w:t>
            </w:r>
          </w:p>
        </w:tc>
        <w:tc>
          <w:tcPr>
            <w:tcW w:w="3653" w:type="dxa"/>
            <w:hideMark/>
          </w:tcPr>
          <w:p w:rsidR="00C61BBB" w:rsidRPr="00C61BBB" w:rsidRDefault="00C61BBB" w:rsidP="0042538C">
            <w:pPr>
              <w:jc w:val="both"/>
            </w:pPr>
            <w:r w:rsidRPr="00C61BBB">
              <w:t xml:space="preserve"> Desarrollo de los Programas Académicos con registro SNIES vigente</w:t>
            </w:r>
          </w:p>
        </w:tc>
      </w:tr>
      <w:tr w:rsidR="00C61BBB" w:rsidRPr="00C61BBB" w:rsidTr="0042538C">
        <w:trPr>
          <w:trHeight w:val="20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VOC P8</w:t>
            </w:r>
          </w:p>
        </w:tc>
        <w:tc>
          <w:tcPr>
            <w:tcW w:w="3653" w:type="dxa"/>
            <w:hideMark/>
          </w:tcPr>
          <w:p w:rsidR="00C61BBB" w:rsidRPr="00C61BBB" w:rsidRDefault="00C61BBB" w:rsidP="0042538C">
            <w:pPr>
              <w:jc w:val="both"/>
            </w:pPr>
            <w:r w:rsidRPr="00C61BBB">
              <w:t>Bienestar y Permanencia Estudiantil</w:t>
            </w:r>
          </w:p>
        </w:tc>
      </w:tr>
      <w:tr w:rsidR="00C61BBB" w:rsidRPr="00C61BBB" w:rsidTr="0042538C">
        <w:trPr>
          <w:trHeight w:val="200"/>
        </w:trPr>
        <w:tc>
          <w:tcPr>
            <w:tcW w:w="1972" w:type="dxa"/>
            <w:vMerge w:val="restart"/>
            <w:hideMark/>
          </w:tcPr>
          <w:p w:rsidR="00C61BBB" w:rsidRPr="00C61BBB" w:rsidRDefault="00C61BBB" w:rsidP="0042538C">
            <w:pPr>
              <w:jc w:val="both"/>
              <w:rPr>
                <w:b/>
                <w:bCs/>
              </w:rPr>
            </w:pPr>
            <w:r w:rsidRPr="00C61BBB">
              <w:rPr>
                <w:b/>
                <w:bCs/>
              </w:rPr>
              <w:t>Mediaciones Virtuales e Incorporación de las Tics</w:t>
            </w:r>
          </w:p>
        </w:tc>
        <w:tc>
          <w:tcPr>
            <w:tcW w:w="1567" w:type="dxa"/>
            <w:noWrap/>
            <w:hideMark/>
          </w:tcPr>
          <w:p w:rsidR="00C61BBB" w:rsidRPr="00C61BBB" w:rsidRDefault="00C61BBB" w:rsidP="0042538C">
            <w:pPr>
              <w:jc w:val="both"/>
            </w:pPr>
            <w:r w:rsidRPr="00C61BBB">
              <w:t>VMV P1</w:t>
            </w:r>
          </w:p>
        </w:tc>
        <w:tc>
          <w:tcPr>
            <w:tcW w:w="3653" w:type="dxa"/>
            <w:hideMark/>
          </w:tcPr>
          <w:p w:rsidR="00C61BBB" w:rsidRPr="00C61BBB" w:rsidRDefault="00C61BBB" w:rsidP="0042538C">
            <w:pPr>
              <w:jc w:val="both"/>
            </w:pPr>
            <w:r w:rsidRPr="00C61BBB">
              <w:t>B:learning</w:t>
            </w:r>
          </w:p>
        </w:tc>
      </w:tr>
      <w:tr w:rsidR="00C61BBB" w:rsidRPr="00C61BBB" w:rsidTr="0042538C">
        <w:trPr>
          <w:trHeight w:val="40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VMV P2</w:t>
            </w:r>
          </w:p>
        </w:tc>
        <w:tc>
          <w:tcPr>
            <w:tcW w:w="3653" w:type="dxa"/>
            <w:hideMark/>
          </w:tcPr>
          <w:p w:rsidR="00C61BBB" w:rsidRPr="00C61BBB" w:rsidRDefault="00C61BBB" w:rsidP="0042538C">
            <w:pPr>
              <w:jc w:val="both"/>
            </w:pPr>
            <w:r w:rsidRPr="00C61BBB">
              <w:t>Sistemas de Información</w:t>
            </w:r>
          </w:p>
        </w:tc>
      </w:tr>
      <w:tr w:rsidR="00C61BBB" w:rsidRPr="00C61BBB" w:rsidTr="0042538C">
        <w:trPr>
          <w:trHeight w:val="200"/>
        </w:trPr>
        <w:tc>
          <w:tcPr>
            <w:tcW w:w="1972" w:type="dxa"/>
            <w:vMerge w:val="restart"/>
            <w:hideMark/>
          </w:tcPr>
          <w:p w:rsidR="00C61BBB" w:rsidRPr="00C61BBB" w:rsidRDefault="00C61BBB" w:rsidP="0042538C">
            <w:pPr>
              <w:jc w:val="both"/>
              <w:rPr>
                <w:b/>
                <w:bCs/>
              </w:rPr>
            </w:pPr>
            <w:r w:rsidRPr="00C61BBB">
              <w:rPr>
                <w:b/>
                <w:bCs/>
              </w:rPr>
              <w:lastRenderedPageBreak/>
              <w:t>Infraestructura Física Tecnológica y Capacidades</w:t>
            </w:r>
          </w:p>
        </w:tc>
        <w:tc>
          <w:tcPr>
            <w:tcW w:w="1567" w:type="dxa"/>
            <w:noWrap/>
            <w:hideMark/>
          </w:tcPr>
          <w:p w:rsidR="00C61BBB" w:rsidRPr="00C61BBB" w:rsidRDefault="00C61BBB" w:rsidP="0042538C">
            <w:pPr>
              <w:jc w:val="both"/>
            </w:pPr>
            <w:r w:rsidRPr="00C61BBB">
              <w:t>VIFTC P1</w:t>
            </w:r>
          </w:p>
        </w:tc>
        <w:tc>
          <w:tcPr>
            <w:tcW w:w="3653" w:type="dxa"/>
            <w:noWrap/>
            <w:hideMark/>
          </w:tcPr>
          <w:p w:rsidR="00C61BBB" w:rsidRPr="00C61BBB" w:rsidRDefault="00C61BBB" w:rsidP="0042538C">
            <w:pPr>
              <w:jc w:val="both"/>
            </w:pPr>
            <w:r w:rsidRPr="00C61BBB">
              <w:t>Infraestructura Física</w:t>
            </w:r>
          </w:p>
        </w:tc>
      </w:tr>
      <w:tr w:rsidR="00C61BBB" w:rsidRPr="00C61BBB" w:rsidTr="0042538C">
        <w:trPr>
          <w:trHeight w:val="20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VIFT P2</w:t>
            </w:r>
          </w:p>
        </w:tc>
        <w:tc>
          <w:tcPr>
            <w:tcW w:w="3653" w:type="dxa"/>
            <w:hideMark/>
          </w:tcPr>
          <w:p w:rsidR="00C61BBB" w:rsidRPr="00C61BBB" w:rsidRDefault="00C61BBB" w:rsidP="0042538C">
            <w:pPr>
              <w:jc w:val="both"/>
            </w:pPr>
            <w:r w:rsidRPr="00C61BBB">
              <w:t>Infraestructura Tecnológica</w:t>
            </w:r>
          </w:p>
        </w:tc>
      </w:tr>
      <w:tr w:rsidR="00C61BBB" w:rsidRPr="00C61BBB" w:rsidTr="0042538C">
        <w:trPr>
          <w:trHeight w:val="20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VIFT P4</w:t>
            </w:r>
          </w:p>
        </w:tc>
        <w:tc>
          <w:tcPr>
            <w:tcW w:w="3653" w:type="dxa"/>
            <w:hideMark/>
          </w:tcPr>
          <w:p w:rsidR="00C61BBB" w:rsidRPr="00C61BBB" w:rsidRDefault="00C61BBB" w:rsidP="0042538C">
            <w:pPr>
              <w:jc w:val="both"/>
            </w:pPr>
            <w:r w:rsidRPr="00C61BBB">
              <w:t>Actualización Bibliográfica</w:t>
            </w:r>
          </w:p>
        </w:tc>
      </w:tr>
      <w:tr w:rsidR="00C61BBB" w:rsidRPr="00C61BBB" w:rsidTr="0042538C">
        <w:trPr>
          <w:trHeight w:val="1000"/>
        </w:trPr>
        <w:tc>
          <w:tcPr>
            <w:tcW w:w="1972" w:type="dxa"/>
            <w:hideMark/>
          </w:tcPr>
          <w:p w:rsidR="00C61BBB" w:rsidRPr="00C61BBB" w:rsidRDefault="00C61BBB" w:rsidP="0042538C">
            <w:pPr>
              <w:jc w:val="both"/>
              <w:rPr>
                <w:b/>
                <w:bCs/>
              </w:rPr>
            </w:pPr>
            <w:r w:rsidRPr="00C61BBB">
              <w:rPr>
                <w:b/>
                <w:bCs/>
              </w:rPr>
              <w:t>Suficiencia, competencia y pertinencia del Talento Humano del CINOC</w:t>
            </w:r>
          </w:p>
        </w:tc>
        <w:tc>
          <w:tcPr>
            <w:tcW w:w="1567" w:type="dxa"/>
            <w:noWrap/>
            <w:hideMark/>
          </w:tcPr>
          <w:p w:rsidR="00C61BBB" w:rsidRPr="00C61BBB" w:rsidRDefault="00C61BBB" w:rsidP="0042538C">
            <w:pPr>
              <w:jc w:val="both"/>
            </w:pPr>
            <w:r w:rsidRPr="00C61BBB">
              <w:t>VSCPTH P3</w:t>
            </w:r>
          </w:p>
        </w:tc>
        <w:tc>
          <w:tcPr>
            <w:tcW w:w="3653" w:type="dxa"/>
            <w:hideMark/>
          </w:tcPr>
          <w:p w:rsidR="00C61BBB" w:rsidRPr="00C61BBB" w:rsidRDefault="00C61BBB" w:rsidP="0042538C">
            <w:pPr>
              <w:jc w:val="both"/>
            </w:pPr>
            <w:r w:rsidRPr="00C61BBB">
              <w:t>Competencias del talento Humano</w:t>
            </w:r>
          </w:p>
        </w:tc>
      </w:tr>
      <w:tr w:rsidR="00C61BBB" w:rsidRPr="00C61BBB" w:rsidTr="0042538C">
        <w:trPr>
          <w:trHeight w:val="200"/>
        </w:trPr>
        <w:tc>
          <w:tcPr>
            <w:tcW w:w="1972" w:type="dxa"/>
            <w:vMerge w:val="restart"/>
            <w:hideMark/>
          </w:tcPr>
          <w:p w:rsidR="00C61BBB" w:rsidRPr="00C61BBB" w:rsidRDefault="00C61BBB" w:rsidP="0042538C">
            <w:pPr>
              <w:jc w:val="both"/>
              <w:rPr>
                <w:b/>
                <w:bCs/>
              </w:rPr>
            </w:pPr>
            <w:r w:rsidRPr="00C61BBB">
              <w:rPr>
                <w:b/>
                <w:bCs/>
              </w:rPr>
              <w:t>Ambiente laboral y modernización organizacional</w:t>
            </w:r>
          </w:p>
        </w:tc>
        <w:tc>
          <w:tcPr>
            <w:tcW w:w="1567" w:type="dxa"/>
            <w:noWrap/>
            <w:hideMark/>
          </w:tcPr>
          <w:p w:rsidR="00C61BBB" w:rsidRPr="00C61BBB" w:rsidRDefault="00C61BBB" w:rsidP="0042538C">
            <w:pPr>
              <w:jc w:val="both"/>
            </w:pPr>
            <w:r w:rsidRPr="00C61BBB">
              <w:t>VALMO P4</w:t>
            </w:r>
          </w:p>
        </w:tc>
        <w:tc>
          <w:tcPr>
            <w:tcW w:w="3653" w:type="dxa"/>
            <w:hideMark/>
          </w:tcPr>
          <w:p w:rsidR="00C61BBB" w:rsidRPr="00C61BBB" w:rsidRDefault="00C61BBB" w:rsidP="0042538C">
            <w:pPr>
              <w:jc w:val="both"/>
            </w:pPr>
            <w:r w:rsidRPr="00C61BBB">
              <w:t>Rediseño Organizacional</w:t>
            </w:r>
          </w:p>
        </w:tc>
      </w:tr>
      <w:tr w:rsidR="00C61BBB" w:rsidRPr="00C61BBB" w:rsidTr="0042538C">
        <w:trPr>
          <w:trHeight w:val="470"/>
        </w:trPr>
        <w:tc>
          <w:tcPr>
            <w:tcW w:w="1972" w:type="dxa"/>
            <w:vMerge/>
            <w:hideMark/>
          </w:tcPr>
          <w:p w:rsidR="00C61BBB" w:rsidRPr="00C61BBB" w:rsidRDefault="00C61BBB" w:rsidP="0042538C">
            <w:pPr>
              <w:jc w:val="both"/>
              <w:rPr>
                <w:b/>
                <w:bCs/>
              </w:rPr>
            </w:pPr>
          </w:p>
        </w:tc>
        <w:tc>
          <w:tcPr>
            <w:tcW w:w="1567" w:type="dxa"/>
            <w:noWrap/>
            <w:hideMark/>
          </w:tcPr>
          <w:p w:rsidR="00C61BBB" w:rsidRPr="00C61BBB" w:rsidRDefault="00C61BBB" w:rsidP="0042538C">
            <w:pPr>
              <w:jc w:val="both"/>
            </w:pPr>
            <w:r w:rsidRPr="00C61BBB">
              <w:t>VALMO P2</w:t>
            </w:r>
          </w:p>
        </w:tc>
        <w:tc>
          <w:tcPr>
            <w:tcW w:w="3653" w:type="dxa"/>
            <w:hideMark/>
          </w:tcPr>
          <w:p w:rsidR="00C61BBB" w:rsidRPr="00C61BBB" w:rsidRDefault="00C61BBB" w:rsidP="0042538C">
            <w:pPr>
              <w:jc w:val="both"/>
            </w:pPr>
            <w:r w:rsidRPr="00C61BBB">
              <w:t>Seguridad y Salud en el trabajo</w:t>
            </w:r>
          </w:p>
        </w:tc>
      </w:tr>
      <w:tr w:rsidR="00C61BBB" w:rsidRPr="00C61BBB" w:rsidTr="0042538C">
        <w:trPr>
          <w:trHeight w:val="200"/>
        </w:trPr>
        <w:tc>
          <w:tcPr>
            <w:tcW w:w="1972" w:type="dxa"/>
            <w:hideMark/>
          </w:tcPr>
          <w:p w:rsidR="00C61BBB" w:rsidRPr="00C61BBB" w:rsidRDefault="00C61BBB" w:rsidP="0042538C">
            <w:pPr>
              <w:jc w:val="both"/>
              <w:rPr>
                <w:b/>
                <w:bCs/>
              </w:rPr>
            </w:pPr>
            <w:r w:rsidRPr="00C61BBB">
              <w:rPr>
                <w:b/>
                <w:bCs/>
              </w:rPr>
              <w:t>Institucionalidad</w:t>
            </w:r>
          </w:p>
        </w:tc>
        <w:tc>
          <w:tcPr>
            <w:tcW w:w="1567" w:type="dxa"/>
            <w:noWrap/>
            <w:hideMark/>
          </w:tcPr>
          <w:p w:rsidR="00C61BBB" w:rsidRPr="00C61BBB" w:rsidRDefault="00C61BBB" w:rsidP="0042538C">
            <w:pPr>
              <w:jc w:val="both"/>
            </w:pPr>
            <w:r w:rsidRPr="00C61BBB">
              <w:t>VI P2</w:t>
            </w:r>
          </w:p>
        </w:tc>
        <w:tc>
          <w:tcPr>
            <w:tcW w:w="3653" w:type="dxa"/>
            <w:hideMark/>
          </w:tcPr>
          <w:p w:rsidR="00C61BBB" w:rsidRPr="00C61BBB" w:rsidRDefault="00C61BBB" w:rsidP="0042538C">
            <w:pPr>
              <w:jc w:val="both"/>
            </w:pPr>
            <w:r w:rsidRPr="00C61BBB">
              <w:t>Modelo Integrado de Planeación y Gestión</w:t>
            </w:r>
          </w:p>
        </w:tc>
      </w:tr>
    </w:tbl>
    <w:p w:rsidR="00C61BBB" w:rsidRPr="00C61BBB" w:rsidRDefault="00C61BBB" w:rsidP="00C61BBB">
      <w:pPr>
        <w:spacing w:line="240" w:lineRule="auto"/>
        <w:ind w:left="360"/>
        <w:jc w:val="both"/>
        <w:rPr>
          <w:lang w:val="es-ES"/>
        </w:rPr>
      </w:pPr>
    </w:p>
    <w:p w:rsidR="00C61BBB" w:rsidRPr="00C61BBB" w:rsidRDefault="00C61BBB" w:rsidP="00C61BBB">
      <w:pPr>
        <w:spacing w:line="240" w:lineRule="auto"/>
        <w:jc w:val="both"/>
        <w:rPr>
          <w:lang w:val="es-ES"/>
        </w:rPr>
      </w:pPr>
      <w:r w:rsidRPr="00C61BBB">
        <w:rPr>
          <w:lang w:val="es-ES"/>
        </w:rPr>
        <w:t>A continuación, se explicita desde el punto de vista presupuestal la asignación de los recursos</w:t>
      </w:r>
    </w:p>
    <w:p w:rsidR="00DB715E" w:rsidRDefault="00DB715E" w:rsidP="00DB715E">
      <w:pPr>
        <w:pStyle w:val="Prrafodelista"/>
        <w:numPr>
          <w:ilvl w:val="1"/>
          <w:numId w:val="2"/>
        </w:numPr>
        <w:spacing w:line="240" w:lineRule="auto"/>
        <w:jc w:val="both"/>
        <w:rPr>
          <w:lang w:val="es-ES"/>
        </w:rPr>
      </w:pPr>
      <w:r>
        <w:rPr>
          <w:lang w:val="es-ES"/>
        </w:rPr>
        <w:t>Adición recursos del balance</w:t>
      </w:r>
      <w:r w:rsidR="00FA4D75">
        <w:rPr>
          <w:lang w:val="es-ES"/>
        </w:rPr>
        <w:t>, fuente de financiación</w:t>
      </w:r>
      <w:r>
        <w:rPr>
          <w:lang w:val="es-ES"/>
        </w:rPr>
        <w:t xml:space="preserve"> </w:t>
      </w:r>
      <w:r w:rsidR="00545976">
        <w:rPr>
          <w:lang w:val="es-ES"/>
        </w:rPr>
        <w:t xml:space="preserve">recursos </w:t>
      </w:r>
      <w:r>
        <w:rPr>
          <w:lang w:val="es-ES"/>
        </w:rPr>
        <w:t>PROPIOS</w:t>
      </w:r>
      <w:r w:rsidR="00FA4D75">
        <w:rPr>
          <w:lang w:val="es-ES"/>
        </w:rPr>
        <w:t>,</w:t>
      </w:r>
      <w:r>
        <w:rPr>
          <w:lang w:val="es-ES"/>
        </w:rPr>
        <w:t xml:space="preserve"> por un valor de SESENTA Y UN MILLONES QUINIENTOS VEINTISIETE MIL SEISCIENTOS NOVENTA Y CINCO PESOS ($61.527.695).</w:t>
      </w:r>
    </w:p>
    <w:tbl>
      <w:tblPr>
        <w:tblW w:w="8293" w:type="dxa"/>
        <w:tblInd w:w="633" w:type="dxa"/>
        <w:tblCellMar>
          <w:left w:w="70" w:type="dxa"/>
          <w:right w:w="70" w:type="dxa"/>
        </w:tblCellMar>
        <w:tblLook w:val="04A0" w:firstRow="1" w:lastRow="0" w:firstColumn="1" w:lastColumn="0" w:noHBand="0" w:noVBand="1"/>
      </w:tblPr>
      <w:tblGrid>
        <w:gridCol w:w="2339"/>
        <w:gridCol w:w="1276"/>
        <w:gridCol w:w="4678"/>
      </w:tblGrid>
      <w:tr w:rsidR="00117964" w:rsidRPr="00117964" w:rsidTr="003722EE">
        <w:trPr>
          <w:trHeight w:val="21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964" w:rsidRPr="00117964" w:rsidRDefault="00117964" w:rsidP="00117964">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DETALLE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17964" w:rsidRPr="00117964" w:rsidRDefault="00117964" w:rsidP="00117964">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VALOR</w:t>
            </w:r>
          </w:p>
        </w:tc>
        <w:tc>
          <w:tcPr>
            <w:tcW w:w="4678" w:type="dxa"/>
            <w:tcBorders>
              <w:top w:val="single" w:sz="4" w:space="0" w:color="auto"/>
              <w:left w:val="nil"/>
              <w:bottom w:val="single" w:sz="4" w:space="0" w:color="auto"/>
              <w:right w:val="single" w:sz="4" w:space="0" w:color="auto"/>
            </w:tcBorders>
          </w:tcPr>
          <w:p w:rsidR="00117964" w:rsidRPr="00117964" w:rsidRDefault="00117964" w:rsidP="00117964">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JUSTIFICACION</w:t>
            </w:r>
          </w:p>
        </w:tc>
      </w:tr>
      <w:tr w:rsidR="00117964" w:rsidRPr="00117964" w:rsidTr="00FB2AED">
        <w:trPr>
          <w:trHeight w:val="21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 xml:space="preserve">Proyección social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 xml:space="preserve">  11.000.000,00 </w:t>
            </w:r>
          </w:p>
        </w:tc>
        <w:tc>
          <w:tcPr>
            <w:tcW w:w="4678" w:type="dxa"/>
            <w:tcBorders>
              <w:top w:val="single" w:sz="4" w:space="0" w:color="auto"/>
              <w:left w:val="nil"/>
              <w:bottom w:val="single" w:sz="4" w:space="0" w:color="auto"/>
              <w:right w:val="single" w:sz="4" w:space="0" w:color="auto"/>
            </w:tcBorders>
            <w:shd w:val="clear" w:color="auto" w:fill="auto"/>
          </w:tcPr>
          <w:p w:rsidR="00117964" w:rsidRPr="00117964" w:rsidRDefault="00F24464" w:rsidP="00F24464">
            <w:pPr>
              <w:spacing w:after="0" w:line="240" w:lineRule="auto"/>
              <w:jc w:val="both"/>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 xml:space="preserve">En la liquidación del presupuesto 2020 se incluyó para este ítem $10.000.000 quedando pendiente de adicionar $11.000.000 para un total de necesidades del proyecto para el año 2020 de $21.000.000 Ver </w:t>
            </w:r>
            <w:r w:rsidRPr="00F24464">
              <w:rPr>
                <w:rFonts w:ascii="Tahoma" w:eastAsia="Times New Roman" w:hAnsi="Tahoma" w:cs="Tahoma"/>
                <w:b/>
                <w:i/>
                <w:color w:val="000000"/>
                <w:sz w:val="16"/>
                <w:szCs w:val="16"/>
                <w:lang w:eastAsia="es-CO"/>
              </w:rPr>
              <w:t xml:space="preserve">anexo </w:t>
            </w:r>
            <w:r>
              <w:rPr>
                <w:rFonts w:ascii="Tahoma" w:eastAsia="Times New Roman" w:hAnsi="Tahoma" w:cs="Tahoma"/>
                <w:b/>
                <w:i/>
                <w:color w:val="000000"/>
                <w:sz w:val="16"/>
                <w:szCs w:val="16"/>
                <w:lang w:eastAsia="es-CO"/>
              </w:rPr>
              <w:t xml:space="preserve">No. </w:t>
            </w:r>
            <w:r w:rsidRPr="00F24464">
              <w:rPr>
                <w:rFonts w:ascii="Tahoma" w:eastAsia="Times New Roman" w:hAnsi="Tahoma" w:cs="Tahoma"/>
                <w:b/>
                <w:i/>
                <w:color w:val="000000"/>
                <w:sz w:val="16"/>
                <w:szCs w:val="16"/>
                <w:lang w:eastAsia="es-CO"/>
              </w:rPr>
              <w:t>1</w:t>
            </w:r>
          </w:p>
        </w:tc>
      </w:tr>
      <w:tr w:rsidR="00117964" w:rsidRPr="00117964" w:rsidTr="00FB2AED">
        <w:trPr>
          <w:trHeight w:val="210"/>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 xml:space="preserve">Internacionalización </w:t>
            </w:r>
          </w:p>
        </w:tc>
        <w:tc>
          <w:tcPr>
            <w:tcW w:w="1276" w:type="dxa"/>
            <w:tcBorders>
              <w:top w:val="nil"/>
              <w:left w:val="nil"/>
              <w:bottom w:val="single" w:sz="4" w:space="0" w:color="auto"/>
              <w:right w:val="single" w:sz="4" w:space="0" w:color="auto"/>
            </w:tcBorders>
            <w:shd w:val="clear" w:color="auto" w:fill="auto"/>
            <w:noWrap/>
            <w:vAlign w:val="bottom"/>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 xml:space="preserve">  11.000.000,00 </w:t>
            </w:r>
          </w:p>
        </w:tc>
        <w:tc>
          <w:tcPr>
            <w:tcW w:w="4678" w:type="dxa"/>
            <w:tcBorders>
              <w:top w:val="nil"/>
              <w:left w:val="nil"/>
              <w:bottom w:val="single" w:sz="4" w:space="0" w:color="auto"/>
              <w:right w:val="single" w:sz="4" w:space="0" w:color="auto"/>
            </w:tcBorders>
            <w:shd w:val="clear" w:color="auto" w:fill="auto"/>
          </w:tcPr>
          <w:p w:rsidR="00117964" w:rsidRPr="00117964" w:rsidRDefault="00F24464" w:rsidP="00DE2300">
            <w:pPr>
              <w:spacing w:after="0" w:line="240" w:lineRule="auto"/>
              <w:jc w:val="both"/>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 xml:space="preserve">En la liquidación del presupuesto 2020 se incluyó para este ítem $10.000.000 quedando pendiente de adicionar $11.000.000 para un total de necesidades del proyecto para el año 2020 de $21.000.000 Ver </w:t>
            </w:r>
            <w:r>
              <w:rPr>
                <w:rFonts w:ascii="Tahoma" w:eastAsia="Times New Roman" w:hAnsi="Tahoma" w:cs="Tahoma"/>
                <w:b/>
                <w:i/>
                <w:color w:val="000000"/>
                <w:sz w:val="16"/>
                <w:szCs w:val="16"/>
                <w:lang w:eastAsia="es-CO"/>
              </w:rPr>
              <w:t>anexo No. 2</w:t>
            </w:r>
          </w:p>
        </w:tc>
      </w:tr>
      <w:tr w:rsidR="00117964" w:rsidRPr="00117964" w:rsidTr="00FB2AED">
        <w:trPr>
          <w:trHeight w:val="210"/>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 xml:space="preserve">Mercadeo visibilidad institucional </w:t>
            </w:r>
          </w:p>
        </w:tc>
        <w:tc>
          <w:tcPr>
            <w:tcW w:w="1276" w:type="dxa"/>
            <w:tcBorders>
              <w:top w:val="nil"/>
              <w:left w:val="nil"/>
              <w:bottom w:val="single" w:sz="4" w:space="0" w:color="auto"/>
              <w:right w:val="single" w:sz="4" w:space="0" w:color="auto"/>
            </w:tcBorders>
            <w:shd w:val="clear" w:color="auto" w:fill="auto"/>
            <w:noWrap/>
            <w:vAlign w:val="bottom"/>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 xml:space="preserve">  15.000.000,00 </w:t>
            </w:r>
          </w:p>
        </w:tc>
        <w:tc>
          <w:tcPr>
            <w:tcW w:w="4678" w:type="dxa"/>
            <w:tcBorders>
              <w:top w:val="nil"/>
              <w:left w:val="nil"/>
              <w:bottom w:val="single" w:sz="4" w:space="0" w:color="auto"/>
              <w:right w:val="single" w:sz="4" w:space="0" w:color="auto"/>
            </w:tcBorders>
            <w:shd w:val="clear" w:color="auto" w:fill="auto"/>
          </w:tcPr>
          <w:p w:rsidR="00117964" w:rsidRPr="00117964" w:rsidRDefault="006E23C0" w:rsidP="00DE2300">
            <w:pPr>
              <w:spacing w:after="0" w:line="240" w:lineRule="auto"/>
              <w:jc w:val="both"/>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Esta adición se solicita, para la ejecución de actividades aplazadas por motivos de programación presupuestal inicial</w:t>
            </w:r>
            <w:r w:rsidR="00F24464">
              <w:rPr>
                <w:rFonts w:ascii="Tahoma" w:eastAsia="Times New Roman" w:hAnsi="Tahoma" w:cs="Tahoma"/>
                <w:color w:val="000000"/>
                <w:sz w:val="16"/>
                <w:szCs w:val="16"/>
                <w:lang w:eastAsia="es-CO"/>
              </w:rPr>
              <w:t xml:space="preserve"> vigencia 2020</w:t>
            </w:r>
            <w:r>
              <w:rPr>
                <w:rFonts w:ascii="Tahoma" w:eastAsia="Times New Roman" w:hAnsi="Tahoma" w:cs="Tahoma"/>
                <w:color w:val="000000"/>
                <w:sz w:val="16"/>
                <w:szCs w:val="16"/>
                <w:lang w:eastAsia="es-CO"/>
              </w:rPr>
              <w:t xml:space="preserve">. Las cuales se justifican en el </w:t>
            </w:r>
            <w:r w:rsidRPr="006E23C0">
              <w:rPr>
                <w:rFonts w:ascii="Tahoma" w:eastAsia="Times New Roman" w:hAnsi="Tahoma" w:cs="Tahoma"/>
                <w:b/>
                <w:i/>
                <w:color w:val="000000"/>
                <w:sz w:val="16"/>
                <w:szCs w:val="16"/>
                <w:lang w:eastAsia="es-CO"/>
              </w:rPr>
              <w:t xml:space="preserve">anexo No. </w:t>
            </w:r>
            <w:r w:rsidR="00F24464">
              <w:rPr>
                <w:rFonts w:ascii="Tahoma" w:eastAsia="Times New Roman" w:hAnsi="Tahoma" w:cs="Tahoma"/>
                <w:b/>
                <w:i/>
                <w:color w:val="000000"/>
                <w:sz w:val="16"/>
                <w:szCs w:val="16"/>
                <w:lang w:eastAsia="es-CO"/>
              </w:rPr>
              <w:t>3</w:t>
            </w:r>
            <w:r>
              <w:rPr>
                <w:rFonts w:ascii="Tahoma" w:eastAsia="Times New Roman" w:hAnsi="Tahoma" w:cs="Tahoma"/>
                <w:color w:val="000000"/>
                <w:sz w:val="16"/>
                <w:szCs w:val="16"/>
                <w:lang w:eastAsia="es-CO"/>
              </w:rPr>
              <w:t xml:space="preserve"> </w:t>
            </w:r>
          </w:p>
        </w:tc>
      </w:tr>
      <w:tr w:rsidR="00117964" w:rsidRPr="00117964" w:rsidTr="00FB2AED">
        <w:trPr>
          <w:trHeight w:val="210"/>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 xml:space="preserve">Mantenimiento infraestructura física </w:t>
            </w:r>
            <w:r>
              <w:rPr>
                <w:rFonts w:ascii="Tahoma" w:eastAsia="Times New Roman" w:hAnsi="Tahoma" w:cs="Tahoma"/>
                <w:color w:val="000000"/>
                <w:sz w:val="16"/>
                <w:szCs w:val="16"/>
                <w:lang w:eastAsia="es-CO"/>
              </w:rPr>
              <w:t>Sede Central</w:t>
            </w:r>
          </w:p>
        </w:tc>
        <w:tc>
          <w:tcPr>
            <w:tcW w:w="1276" w:type="dxa"/>
            <w:tcBorders>
              <w:top w:val="nil"/>
              <w:left w:val="nil"/>
              <w:bottom w:val="single" w:sz="4" w:space="0" w:color="auto"/>
              <w:right w:val="single" w:sz="4" w:space="0" w:color="auto"/>
            </w:tcBorders>
            <w:shd w:val="clear" w:color="auto" w:fill="auto"/>
            <w:noWrap/>
            <w:vAlign w:val="bottom"/>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 xml:space="preserve">    8.000.000,00 </w:t>
            </w:r>
          </w:p>
        </w:tc>
        <w:tc>
          <w:tcPr>
            <w:tcW w:w="4678" w:type="dxa"/>
            <w:tcBorders>
              <w:top w:val="nil"/>
              <w:left w:val="nil"/>
              <w:bottom w:val="single" w:sz="4" w:space="0" w:color="auto"/>
              <w:right w:val="single" w:sz="4" w:space="0" w:color="auto"/>
            </w:tcBorders>
            <w:shd w:val="clear" w:color="auto" w:fill="auto"/>
          </w:tcPr>
          <w:p w:rsidR="00117964" w:rsidRPr="00117964" w:rsidRDefault="00E9199B" w:rsidP="0093172D">
            <w:pPr>
              <w:spacing w:after="0" w:line="240" w:lineRule="auto"/>
              <w:jc w:val="both"/>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 xml:space="preserve">Se solicita la adición de este recurso para el mantenimiento de estructura física de la Sede Central, consistente en reparaciones locativas como resane y pintura de </w:t>
            </w:r>
            <w:r w:rsidR="00990752">
              <w:rPr>
                <w:rFonts w:ascii="Tahoma" w:eastAsia="Times New Roman" w:hAnsi="Tahoma" w:cs="Tahoma"/>
                <w:color w:val="000000"/>
                <w:sz w:val="16"/>
                <w:szCs w:val="16"/>
                <w:lang w:eastAsia="es-CO"/>
              </w:rPr>
              <w:t xml:space="preserve">paredes </w:t>
            </w:r>
            <w:r>
              <w:rPr>
                <w:rFonts w:ascii="Tahoma" w:eastAsia="Times New Roman" w:hAnsi="Tahoma" w:cs="Tahoma"/>
                <w:color w:val="000000"/>
                <w:sz w:val="16"/>
                <w:szCs w:val="16"/>
                <w:lang w:eastAsia="es-CO"/>
              </w:rPr>
              <w:t xml:space="preserve">humedades, </w:t>
            </w:r>
            <w:r w:rsidR="00990752">
              <w:rPr>
                <w:rFonts w:ascii="Tahoma" w:eastAsia="Times New Roman" w:hAnsi="Tahoma" w:cs="Tahoma"/>
                <w:color w:val="000000"/>
                <w:sz w:val="16"/>
                <w:szCs w:val="16"/>
                <w:lang w:eastAsia="es-CO"/>
              </w:rPr>
              <w:t>reparación de agrietamientos menores presentados el año pasado por movimientos telúricos entre otras</w:t>
            </w:r>
            <w:r w:rsidR="0093172D">
              <w:rPr>
                <w:rFonts w:ascii="Tahoma" w:eastAsia="Times New Roman" w:hAnsi="Tahoma" w:cs="Tahoma"/>
                <w:color w:val="000000"/>
                <w:sz w:val="16"/>
                <w:szCs w:val="16"/>
                <w:lang w:eastAsia="es-CO"/>
              </w:rPr>
              <w:t>.</w:t>
            </w:r>
            <w:r w:rsidR="00990752">
              <w:rPr>
                <w:rFonts w:ascii="Tahoma" w:eastAsia="Times New Roman" w:hAnsi="Tahoma" w:cs="Tahoma"/>
                <w:color w:val="000000"/>
                <w:sz w:val="16"/>
                <w:szCs w:val="16"/>
                <w:lang w:eastAsia="es-CO"/>
              </w:rPr>
              <w:t xml:space="preserve"> El objetivo es hacerle un mantenimiento periódico preventivo cada año</w:t>
            </w:r>
            <w:r w:rsidR="0093172D">
              <w:rPr>
                <w:rFonts w:ascii="Tahoma" w:eastAsia="Times New Roman" w:hAnsi="Tahoma" w:cs="Tahoma"/>
                <w:color w:val="000000"/>
                <w:sz w:val="16"/>
                <w:szCs w:val="16"/>
                <w:lang w:eastAsia="es-CO"/>
              </w:rPr>
              <w:t xml:space="preserve"> a la edificación del bloque A de la sede central</w:t>
            </w:r>
            <w:r w:rsidR="00990752">
              <w:rPr>
                <w:rFonts w:ascii="Tahoma" w:eastAsia="Times New Roman" w:hAnsi="Tahoma" w:cs="Tahoma"/>
                <w:color w:val="000000"/>
                <w:sz w:val="16"/>
                <w:szCs w:val="16"/>
                <w:lang w:eastAsia="es-CO"/>
              </w:rPr>
              <w:t xml:space="preserve">, con el fin de no esperar a que la </w:t>
            </w:r>
            <w:r w:rsidR="0093172D">
              <w:rPr>
                <w:rFonts w:ascii="Tahoma" w:eastAsia="Times New Roman" w:hAnsi="Tahoma" w:cs="Tahoma"/>
                <w:color w:val="000000"/>
                <w:sz w:val="16"/>
                <w:szCs w:val="16"/>
                <w:lang w:eastAsia="es-CO"/>
              </w:rPr>
              <w:t>edificio</w:t>
            </w:r>
            <w:r w:rsidR="00990752">
              <w:rPr>
                <w:rFonts w:ascii="Tahoma" w:eastAsia="Times New Roman" w:hAnsi="Tahoma" w:cs="Tahoma"/>
                <w:color w:val="000000"/>
                <w:sz w:val="16"/>
                <w:szCs w:val="16"/>
                <w:lang w:eastAsia="es-CO"/>
              </w:rPr>
              <w:t xml:space="preserve"> acumule</w:t>
            </w:r>
            <w:r w:rsidR="0093172D">
              <w:rPr>
                <w:rFonts w:ascii="Tahoma" w:eastAsia="Times New Roman" w:hAnsi="Tahoma" w:cs="Tahoma"/>
                <w:color w:val="000000"/>
                <w:sz w:val="16"/>
                <w:szCs w:val="16"/>
                <w:lang w:eastAsia="es-CO"/>
              </w:rPr>
              <w:t xml:space="preserve"> el deterioro normal por el uso en varios años</w:t>
            </w:r>
            <w:r w:rsidR="00990752">
              <w:rPr>
                <w:rFonts w:ascii="Tahoma" w:eastAsia="Times New Roman" w:hAnsi="Tahoma" w:cs="Tahoma"/>
                <w:color w:val="000000"/>
                <w:sz w:val="16"/>
                <w:szCs w:val="16"/>
                <w:lang w:eastAsia="es-CO"/>
              </w:rPr>
              <w:t>, dando lugar a la destinación de mayores recursos para su adecuación</w:t>
            </w:r>
            <w:r w:rsidR="0093172D">
              <w:rPr>
                <w:rFonts w:ascii="Tahoma" w:eastAsia="Times New Roman" w:hAnsi="Tahoma" w:cs="Tahoma"/>
                <w:color w:val="000000"/>
                <w:sz w:val="16"/>
                <w:szCs w:val="16"/>
                <w:lang w:eastAsia="es-CO"/>
              </w:rPr>
              <w:t xml:space="preserve">, recuperación </w:t>
            </w:r>
            <w:r w:rsidR="00990752">
              <w:rPr>
                <w:rFonts w:ascii="Tahoma" w:eastAsia="Times New Roman" w:hAnsi="Tahoma" w:cs="Tahoma"/>
                <w:color w:val="000000"/>
                <w:sz w:val="16"/>
                <w:szCs w:val="16"/>
                <w:lang w:eastAsia="es-CO"/>
              </w:rPr>
              <w:t>y mantenimiento.</w:t>
            </w:r>
          </w:p>
        </w:tc>
      </w:tr>
      <w:tr w:rsidR="00117964" w:rsidRPr="00117964" w:rsidTr="00FB2AED">
        <w:trPr>
          <w:trHeight w:val="210"/>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 xml:space="preserve">Remuneración por servicios técnicos </w:t>
            </w:r>
          </w:p>
        </w:tc>
        <w:tc>
          <w:tcPr>
            <w:tcW w:w="1276" w:type="dxa"/>
            <w:tcBorders>
              <w:top w:val="nil"/>
              <w:left w:val="nil"/>
              <w:bottom w:val="single" w:sz="4" w:space="0" w:color="auto"/>
              <w:right w:val="single" w:sz="4" w:space="0" w:color="auto"/>
            </w:tcBorders>
            <w:shd w:val="clear" w:color="auto" w:fill="auto"/>
            <w:noWrap/>
            <w:vAlign w:val="bottom"/>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 xml:space="preserve">    8.000.000,00 </w:t>
            </w:r>
          </w:p>
        </w:tc>
        <w:tc>
          <w:tcPr>
            <w:tcW w:w="4678" w:type="dxa"/>
            <w:tcBorders>
              <w:top w:val="nil"/>
              <w:left w:val="nil"/>
              <w:bottom w:val="single" w:sz="4" w:space="0" w:color="auto"/>
              <w:right w:val="single" w:sz="4" w:space="0" w:color="auto"/>
            </w:tcBorders>
            <w:shd w:val="clear" w:color="auto" w:fill="auto"/>
          </w:tcPr>
          <w:p w:rsidR="00117964" w:rsidRPr="00117964" w:rsidRDefault="005F2790" w:rsidP="005F2790">
            <w:pPr>
              <w:spacing w:after="0" w:line="240" w:lineRule="auto"/>
              <w:jc w:val="both"/>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En el proyecto de demolición recolección de escombros del bloque B de la sede central, es necesario contratar un Ingeniero Civil, por un término de 2.5 meses, este Ingeniero Civil tendrá la facultad de asesorar a la Dirección, en lo correspondiente al adecuado procedimiento del proceso de demolición y recolección de escombros, debido a que en la planta de personal no se cuenta con un profesional en este sentido. El valor para este contrato no fue incluido inicialmente en la liquidación presupuestal 2020, por lo que solicita su incorporación a través de esta adición al presupuesto 2020.</w:t>
            </w:r>
          </w:p>
        </w:tc>
      </w:tr>
      <w:tr w:rsidR="00117964" w:rsidRPr="00117964" w:rsidTr="00FB2AED">
        <w:trPr>
          <w:trHeight w:val="210"/>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Mantenimiento proyectos granja</w:t>
            </w:r>
          </w:p>
        </w:tc>
        <w:tc>
          <w:tcPr>
            <w:tcW w:w="1276" w:type="dxa"/>
            <w:tcBorders>
              <w:top w:val="nil"/>
              <w:left w:val="nil"/>
              <w:bottom w:val="single" w:sz="4" w:space="0" w:color="auto"/>
              <w:right w:val="single" w:sz="4" w:space="0" w:color="auto"/>
            </w:tcBorders>
            <w:shd w:val="clear" w:color="auto" w:fill="auto"/>
            <w:noWrap/>
            <w:vAlign w:val="bottom"/>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 xml:space="preserve">    8.527.695,00 </w:t>
            </w:r>
          </w:p>
        </w:tc>
        <w:tc>
          <w:tcPr>
            <w:tcW w:w="4678" w:type="dxa"/>
            <w:tcBorders>
              <w:top w:val="nil"/>
              <w:left w:val="nil"/>
              <w:bottom w:val="single" w:sz="4" w:space="0" w:color="auto"/>
              <w:right w:val="single" w:sz="4" w:space="0" w:color="auto"/>
            </w:tcBorders>
            <w:shd w:val="clear" w:color="auto" w:fill="auto"/>
          </w:tcPr>
          <w:p w:rsidR="00117964" w:rsidRPr="00117964" w:rsidRDefault="00A62BC3" w:rsidP="00D9735F">
            <w:pPr>
              <w:spacing w:after="0" w:line="240" w:lineRule="auto"/>
              <w:jc w:val="both"/>
              <w:rPr>
                <w:rFonts w:ascii="Tahoma" w:eastAsia="Times New Roman" w:hAnsi="Tahoma" w:cs="Tahoma"/>
                <w:color w:val="000000"/>
                <w:sz w:val="16"/>
                <w:szCs w:val="16"/>
                <w:lang w:eastAsia="es-CO"/>
              </w:rPr>
            </w:pPr>
            <w:r w:rsidRPr="00A62BC3">
              <w:rPr>
                <w:rFonts w:ascii="Tahoma" w:eastAsia="Times New Roman" w:hAnsi="Tahoma" w:cs="Tahoma"/>
                <w:sz w:val="16"/>
                <w:szCs w:val="16"/>
                <w:lang w:eastAsia="es-CO"/>
              </w:rPr>
              <w:t xml:space="preserve">Esta adición se solicita por cuanto a finales del año pasado se presentó un plan para el mantenimiento, sostenimiento y emprendimiento de los proyectos académicos en la Granja San José, de propiedad </w:t>
            </w:r>
            <w:r>
              <w:rPr>
                <w:rFonts w:ascii="Tahoma" w:eastAsia="Times New Roman" w:hAnsi="Tahoma" w:cs="Tahoma"/>
                <w:color w:val="000000"/>
                <w:sz w:val="16"/>
                <w:szCs w:val="16"/>
                <w:lang w:eastAsia="es-CO"/>
              </w:rPr>
              <w:t xml:space="preserve">de la IES CINOC, el cual dio origen a nuevas </w:t>
            </w:r>
            <w:r>
              <w:rPr>
                <w:rFonts w:ascii="Tahoma" w:eastAsia="Times New Roman" w:hAnsi="Tahoma" w:cs="Tahoma"/>
                <w:color w:val="000000"/>
                <w:sz w:val="16"/>
                <w:szCs w:val="16"/>
                <w:lang w:eastAsia="es-CO"/>
              </w:rPr>
              <w:lastRenderedPageBreak/>
              <w:t>necesidades no contempladas inicialmente dentro del presupuesto 2020.</w:t>
            </w:r>
          </w:p>
        </w:tc>
      </w:tr>
      <w:tr w:rsidR="00117964" w:rsidRPr="00117964" w:rsidTr="003722EE">
        <w:trPr>
          <w:trHeight w:val="210"/>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lastRenderedPageBreak/>
              <w:t>TOTAL</w:t>
            </w:r>
          </w:p>
        </w:tc>
        <w:tc>
          <w:tcPr>
            <w:tcW w:w="1276" w:type="dxa"/>
            <w:tcBorders>
              <w:top w:val="nil"/>
              <w:left w:val="nil"/>
              <w:bottom w:val="single" w:sz="4" w:space="0" w:color="auto"/>
              <w:right w:val="single" w:sz="4" w:space="0" w:color="auto"/>
            </w:tcBorders>
            <w:shd w:val="clear" w:color="auto" w:fill="auto"/>
            <w:noWrap/>
            <w:vAlign w:val="bottom"/>
            <w:hideMark/>
          </w:tcPr>
          <w:p w:rsidR="00117964" w:rsidRPr="00117964" w:rsidRDefault="00117964" w:rsidP="00117964">
            <w:pPr>
              <w:spacing w:after="0" w:line="240" w:lineRule="auto"/>
              <w:rPr>
                <w:rFonts w:ascii="Tahoma" w:eastAsia="Times New Roman" w:hAnsi="Tahoma" w:cs="Tahoma"/>
                <w:color w:val="000000"/>
                <w:sz w:val="16"/>
                <w:szCs w:val="16"/>
                <w:lang w:eastAsia="es-CO"/>
              </w:rPr>
            </w:pPr>
            <w:r w:rsidRPr="00117964">
              <w:rPr>
                <w:rFonts w:ascii="Tahoma" w:eastAsia="Times New Roman" w:hAnsi="Tahoma" w:cs="Tahoma"/>
                <w:color w:val="000000"/>
                <w:sz w:val="16"/>
                <w:szCs w:val="16"/>
                <w:lang w:eastAsia="es-CO"/>
              </w:rPr>
              <w:t xml:space="preserve">  61.527.695,00 </w:t>
            </w:r>
          </w:p>
        </w:tc>
        <w:tc>
          <w:tcPr>
            <w:tcW w:w="4678" w:type="dxa"/>
            <w:tcBorders>
              <w:top w:val="nil"/>
              <w:left w:val="nil"/>
              <w:bottom w:val="single" w:sz="4" w:space="0" w:color="auto"/>
              <w:right w:val="single" w:sz="4" w:space="0" w:color="auto"/>
            </w:tcBorders>
          </w:tcPr>
          <w:p w:rsidR="00117964" w:rsidRPr="00117964" w:rsidRDefault="00117964" w:rsidP="00117964">
            <w:pPr>
              <w:spacing w:after="0" w:line="240" w:lineRule="auto"/>
              <w:rPr>
                <w:rFonts w:ascii="Tahoma" w:eastAsia="Times New Roman" w:hAnsi="Tahoma" w:cs="Tahoma"/>
                <w:color w:val="000000"/>
                <w:sz w:val="16"/>
                <w:szCs w:val="16"/>
                <w:lang w:eastAsia="es-CO"/>
              </w:rPr>
            </w:pPr>
          </w:p>
        </w:tc>
      </w:tr>
    </w:tbl>
    <w:p w:rsidR="00862D79" w:rsidRDefault="00862D79" w:rsidP="00117964">
      <w:pPr>
        <w:spacing w:line="240" w:lineRule="auto"/>
        <w:ind w:left="708"/>
        <w:jc w:val="both"/>
        <w:rPr>
          <w:lang w:val="es-ES"/>
        </w:rPr>
      </w:pPr>
    </w:p>
    <w:p w:rsidR="00117964" w:rsidRDefault="00117964" w:rsidP="00117964">
      <w:pPr>
        <w:pStyle w:val="Prrafodelista"/>
        <w:numPr>
          <w:ilvl w:val="1"/>
          <w:numId w:val="2"/>
        </w:numPr>
        <w:spacing w:line="240" w:lineRule="auto"/>
        <w:jc w:val="both"/>
        <w:rPr>
          <w:lang w:val="es-ES"/>
        </w:rPr>
      </w:pPr>
      <w:r>
        <w:rPr>
          <w:lang w:val="es-ES"/>
        </w:rPr>
        <w:t>Adición recursos del balance</w:t>
      </w:r>
      <w:r w:rsidR="006F14B8">
        <w:rPr>
          <w:lang w:val="es-ES"/>
        </w:rPr>
        <w:t>, fuente de financiación</w:t>
      </w:r>
      <w:r>
        <w:rPr>
          <w:lang w:val="es-ES"/>
        </w:rPr>
        <w:t xml:space="preserve"> Transferencias M</w:t>
      </w:r>
      <w:r w:rsidR="009C26DE">
        <w:rPr>
          <w:lang w:val="es-ES"/>
        </w:rPr>
        <w:t>EN</w:t>
      </w:r>
      <w:r w:rsidR="00FA4D75">
        <w:rPr>
          <w:lang w:val="es-ES"/>
        </w:rPr>
        <w:t>,</w:t>
      </w:r>
      <w:r>
        <w:rPr>
          <w:lang w:val="es-ES"/>
        </w:rPr>
        <w:t xml:space="preserve"> por un valor de SESENTA Y DOS </w:t>
      </w:r>
      <w:r w:rsidR="009C26DE">
        <w:rPr>
          <w:lang w:val="es-ES"/>
        </w:rPr>
        <w:t>MILL</w:t>
      </w:r>
      <w:r w:rsidR="00A604FC">
        <w:rPr>
          <w:lang w:val="es-ES"/>
        </w:rPr>
        <w:t>O</w:t>
      </w:r>
      <w:r w:rsidR="009C26DE">
        <w:rPr>
          <w:lang w:val="es-ES"/>
        </w:rPr>
        <w:t xml:space="preserve">NES DOSCIENTOS VEINTINUEVE MIL OCHOCIENTOS CINCUENTA PESOS </w:t>
      </w:r>
      <w:r>
        <w:rPr>
          <w:lang w:val="es-ES"/>
        </w:rPr>
        <w:t>($6</w:t>
      </w:r>
      <w:r w:rsidR="009C26DE">
        <w:rPr>
          <w:lang w:val="es-ES"/>
        </w:rPr>
        <w:t>2.229.850</w:t>
      </w:r>
      <w:r>
        <w:rPr>
          <w:lang w:val="es-ES"/>
        </w:rPr>
        <w:t>).</w:t>
      </w:r>
    </w:p>
    <w:tbl>
      <w:tblPr>
        <w:tblW w:w="8293" w:type="dxa"/>
        <w:tblInd w:w="633" w:type="dxa"/>
        <w:tblCellMar>
          <w:left w:w="70" w:type="dxa"/>
          <w:right w:w="70" w:type="dxa"/>
        </w:tblCellMar>
        <w:tblLook w:val="04A0" w:firstRow="1" w:lastRow="0" w:firstColumn="1" w:lastColumn="0" w:noHBand="0" w:noVBand="1"/>
      </w:tblPr>
      <w:tblGrid>
        <w:gridCol w:w="2339"/>
        <w:gridCol w:w="1276"/>
        <w:gridCol w:w="4678"/>
      </w:tblGrid>
      <w:tr w:rsidR="00F06FFF" w:rsidRPr="00F06FFF" w:rsidTr="00090727">
        <w:trPr>
          <w:trHeight w:val="21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FFF" w:rsidRPr="00117964" w:rsidRDefault="00F06FFF" w:rsidP="00F06FFF">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DETALLE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06FFF" w:rsidRPr="00117964" w:rsidRDefault="00F06FFF" w:rsidP="00F06FFF">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VALOR</w:t>
            </w:r>
          </w:p>
        </w:tc>
        <w:tc>
          <w:tcPr>
            <w:tcW w:w="4678" w:type="dxa"/>
            <w:tcBorders>
              <w:top w:val="single" w:sz="4" w:space="0" w:color="auto"/>
              <w:left w:val="nil"/>
              <w:bottom w:val="single" w:sz="4" w:space="0" w:color="auto"/>
              <w:right w:val="single" w:sz="4" w:space="0" w:color="auto"/>
            </w:tcBorders>
          </w:tcPr>
          <w:p w:rsidR="00F06FFF" w:rsidRPr="00117964" w:rsidRDefault="00F06FFF" w:rsidP="00F06FFF">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JUSTIFICACION</w:t>
            </w:r>
          </w:p>
        </w:tc>
      </w:tr>
      <w:tr w:rsidR="00F06FFF" w:rsidRPr="00F06FFF" w:rsidTr="00090727">
        <w:trPr>
          <w:trHeight w:val="21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FFF" w:rsidRPr="00F06FFF" w:rsidRDefault="00F06FFF" w:rsidP="00F06FFF">
            <w:pPr>
              <w:spacing w:after="0" w:line="240" w:lineRule="auto"/>
              <w:rPr>
                <w:rFonts w:ascii="Tahoma" w:eastAsia="Times New Roman" w:hAnsi="Tahoma" w:cs="Tahoma"/>
                <w:color w:val="000000"/>
                <w:sz w:val="16"/>
                <w:szCs w:val="16"/>
                <w:lang w:eastAsia="es-CO"/>
              </w:rPr>
            </w:pPr>
            <w:r w:rsidRPr="00F06FFF">
              <w:rPr>
                <w:rFonts w:ascii="Tahoma" w:eastAsia="Times New Roman" w:hAnsi="Tahoma" w:cs="Tahoma"/>
                <w:color w:val="000000"/>
                <w:sz w:val="16"/>
                <w:szCs w:val="16"/>
                <w:lang w:eastAsia="es-CO"/>
              </w:rPr>
              <w:t>Honorarios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6FFF" w:rsidRPr="00F06FFF" w:rsidRDefault="00F06FFF" w:rsidP="00F06FFF">
            <w:pPr>
              <w:spacing w:after="0" w:line="240" w:lineRule="auto"/>
              <w:rPr>
                <w:rFonts w:ascii="Tahoma" w:eastAsia="Times New Roman" w:hAnsi="Tahoma" w:cs="Tahoma"/>
                <w:color w:val="000000"/>
                <w:sz w:val="16"/>
                <w:szCs w:val="16"/>
                <w:lang w:eastAsia="es-CO"/>
              </w:rPr>
            </w:pPr>
            <w:r w:rsidRPr="00F06FFF">
              <w:rPr>
                <w:rFonts w:ascii="Tahoma" w:eastAsia="Times New Roman" w:hAnsi="Tahoma" w:cs="Tahoma"/>
                <w:color w:val="000000"/>
                <w:sz w:val="16"/>
                <w:szCs w:val="16"/>
                <w:lang w:eastAsia="es-CO"/>
              </w:rPr>
              <w:t xml:space="preserve">  35.000.000,00 </w:t>
            </w:r>
          </w:p>
        </w:tc>
        <w:tc>
          <w:tcPr>
            <w:tcW w:w="4678" w:type="dxa"/>
            <w:tcBorders>
              <w:top w:val="single" w:sz="4" w:space="0" w:color="auto"/>
              <w:left w:val="nil"/>
              <w:bottom w:val="single" w:sz="4" w:space="0" w:color="auto"/>
              <w:right w:val="single" w:sz="4" w:space="0" w:color="auto"/>
            </w:tcBorders>
          </w:tcPr>
          <w:p w:rsidR="00F06FFF" w:rsidRPr="00FB2AED" w:rsidRDefault="00AC7B4F" w:rsidP="00A62BC3">
            <w:pPr>
              <w:spacing w:after="0" w:line="240" w:lineRule="auto"/>
              <w:rPr>
                <w:rFonts w:ascii="Tahoma" w:eastAsia="Times New Roman" w:hAnsi="Tahoma" w:cs="Tahoma"/>
                <w:color w:val="00B0F0"/>
                <w:sz w:val="16"/>
                <w:szCs w:val="16"/>
                <w:lang w:eastAsia="es-CO"/>
              </w:rPr>
            </w:pPr>
            <w:r w:rsidRPr="00A62BC3">
              <w:rPr>
                <w:rFonts w:ascii="Tahoma" w:eastAsia="Times New Roman" w:hAnsi="Tahoma" w:cs="Tahoma"/>
                <w:sz w:val="16"/>
                <w:szCs w:val="16"/>
                <w:lang w:eastAsia="es-CO"/>
              </w:rPr>
              <w:t xml:space="preserve">La adición de este recurso se solicita para garantizar el pago de honorarios al Consejo Directivo durante el año 2020 y a </w:t>
            </w:r>
            <w:r w:rsidR="00910CBC" w:rsidRPr="00A62BC3">
              <w:rPr>
                <w:rFonts w:ascii="Tahoma" w:eastAsia="Times New Roman" w:hAnsi="Tahoma" w:cs="Tahoma"/>
                <w:sz w:val="16"/>
                <w:szCs w:val="16"/>
                <w:lang w:eastAsia="es-CO"/>
              </w:rPr>
              <w:t xml:space="preserve">demás profesionales que demande la institución en apoyo a la gestión de </w:t>
            </w:r>
            <w:r w:rsidR="00A62BC3" w:rsidRPr="00A62BC3">
              <w:rPr>
                <w:rFonts w:ascii="Tahoma" w:eastAsia="Times New Roman" w:hAnsi="Tahoma" w:cs="Tahoma"/>
                <w:sz w:val="16"/>
                <w:szCs w:val="16"/>
                <w:lang w:eastAsia="es-CO"/>
              </w:rPr>
              <w:t xml:space="preserve">planes proyectos y programas en el </w:t>
            </w:r>
            <w:r w:rsidR="00910CBC" w:rsidRPr="00A62BC3">
              <w:rPr>
                <w:rFonts w:ascii="Tahoma" w:eastAsia="Times New Roman" w:hAnsi="Tahoma" w:cs="Tahoma"/>
                <w:sz w:val="16"/>
                <w:szCs w:val="16"/>
                <w:lang w:eastAsia="es-CO"/>
              </w:rPr>
              <w:t>2020.</w:t>
            </w:r>
            <w:r w:rsidRPr="00A62BC3">
              <w:rPr>
                <w:rFonts w:ascii="Tahoma" w:eastAsia="Times New Roman" w:hAnsi="Tahoma" w:cs="Tahoma"/>
                <w:sz w:val="16"/>
                <w:szCs w:val="16"/>
                <w:lang w:eastAsia="es-CO"/>
              </w:rPr>
              <w:t xml:space="preserve"> </w:t>
            </w:r>
          </w:p>
        </w:tc>
      </w:tr>
      <w:tr w:rsidR="00F06FFF" w:rsidRPr="00F06FFF" w:rsidTr="00FB2AED">
        <w:trPr>
          <w:trHeight w:val="210"/>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F06FFF" w:rsidRPr="00F06FFF" w:rsidRDefault="00F06FFF" w:rsidP="00F06FFF">
            <w:pPr>
              <w:spacing w:after="0" w:line="240" w:lineRule="auto"/>
              <w:rPr>
                <w:rFonts w:ascii="Tahoma" w:eastAsia="Times New Roman" w:hAnsi="Tahoma" w:cs="Tahoma"/>
                <w:color w:val="000000"/>
                <w:sz w:val="16"/>
                <w:szCs w:val="16"/>
                <w:lang w:eastAsia="es-CO"/>
              </w:rPr>
            </w:pPr>
            <w:r w:rsidRPr="00F06FFF">
              <w:rPr>
                <w:rFonts w:ascii="Tahoma" w:eastAsia="Times New Roman" w:hAnsi="Tahoma" w:cs="Tahoma"/>
                <w:color w:val="000000"/>
                <w:sz w:val="16"/>
                <w:szCs w:val="16"/>
                <w:lang w:eastAsia="es-CO"/>
              </w:rPr>
              <w:t>Servicios personales indirectos hora catedra</w:t>
            </w:r>
          </w:p>
        </w:tc>
        <w:tc>
          <w:tcPr>
            <w:tcW w:w="1276" w:type="dxa"/>
            <w:tcBorders>
              <w:top w:val="nil"/>
              <w:left w:val="nil"/>
              <w:bottom w:val="single" w:sz="4" w:space="0" w:color="auto"/>
              <w:right w:val="single" w:sz="4" w:space="0" w:color="auto"/>
            </w:tcBorders>
            <w:shd w:val="clear" w:color="auto" w:fill="auto"/>
            <w:noWrap/>
            <w:vAlign w:val="bottom"/>
            <w:hideMark/>
          </w:tcPr>
          <w:p w:rsidR="00F06FFF" w:rsidRPr="00F06FFF" w:rsidRDefault="00F06FFF" w:rsidP="00F06FFF">
            <w:pPr>
              <w:spacing w:after="0" w:line="240" w:lineRule="auto"/>
              <w:rPr>
                <w:rFonts w:ascii="Tahoma" w:eastAsia="Times New Roman" w:hAnsi="Tahoma" w:cs="Tahoma"/>
                <w:color w:val="000000"/>
                <w:sz w:val="16"/>
                <w:szCs w:val="16"/>
                <w:lang w:eastAsia="es-CO"/>
              </w:rPr>
            </w:pPr>
            <w:r w:rsidRPr="00F06FFF">
              <w:rPr>
                <w:rFonts w:ascii="Tahoma" w:eastAsia="Times New Roman" w:hAnsi="Tahoma" w:cs="Tahoma"/>
                <w:color w:val="000000"/>
                <w:sz w:val="16"/>
                <w:szCs w:val="16"/>
                <w:lang w:eastAsia="es-CO"/>
              </w:rPr>
              <w:t xml:space="preserve">  27.229.850,00 </w:t>
            </w:r>
          </w:p>
        </w:tc>
        <w:tc>
          <w:tcPr>
            <w:tcW w:w="4678" w:type="dxa"/>
            <w:tcBorders>
              <w:top w:val="nil"/>
              <w:left w:val="nil"/>
              <w:bottom w:val="single" w:sz="4" w:space="0" w:color="auto"/>
              <w:right w:val="single" w:sz="4" w:space="0" w:color="auto"/>
            </w:tcBorders>
            <w:shd w:val="clear" w:color="auto" w:fill="auto"/>
          </w:tcPr>
          <w:p w:rsidR="00F06FFF" w:rsidRPr="00F06FFF" w:rsidRDefault="0067098E" w:rsidP="00C1769A">
            <w:pPr>
              <w:spacing w:after="0" w:line="240" w:lineRule="auto"/>
              <w:jc w:val="both"/>
              <w:rPr>
                <w:rFonts w:ascii="Tahoma" w:eastAsia="Times New Roman" w:hAnsi="Tahoma" w:cs="Tahoma"/>
                <w:color w:val="000000"/>
                <w:sz w:val="16"/>
                <w:szCs w:val="16"/>
                <w:lang w:eastAsia="es-CO"/>
              </w:rPr>
            </w:pPr>
            <w:r w:rsidRPr="00785A48">
              <w:rPr>
                <w:rFonts w:ascii="Tahoma" w:eastAsia="Times New Roman" w:hAnsi="Tahoma" w:cs="Tahoma"/>
                <w:color w:val="000000"/>
                <w:sz w:val="16"/>
                <w:szCs w:val="16"/>
                <w:lang w:eastAsia="es-CO"/>
              </w:rPr>
              <w:t>La nueva realidad dada por el aumento en el número de estudiantes y de cursos, y la apertura de nuevas líneas como son la ruralidad y regionalización, las cuales surgieron a partir de los planes de fomento a la calidad – PFC-,  nos llevan a reconfigurar la proyección de horas cátedras necesarias, las cuales pasaron de un cálculo inicial de 29.952, que fue la base realizada en julio de 2019 para el presupuesto de 2020, a una estimación actual de 34.752 horas cátedra, que serán cubiertas por docentes de carr</w:t>
            </w:r>
            <w:r>
              <w:rPr>
                <w:rFonts w:ascii="Tahoma" w:eastAsia="Times New Roman" w:hAnsi="Tahoma" w:cs="Tahoma"/>
                <w:color w:val="000000"/>
                <w:sz w:val="16"/>
                <w:szCs w:val="16"/>
                <w:lang w:eastAsia="es-CO"/>
              </w:rPr>
              <w:t xml:space="preserve">era, ocasionales y catedráticos. </w:t>
            </w:r>
            <w:r w:rsidRPr="00A11737">
              <w:rPr>
                <w:rFonts w:ascii="Tahoma" w:eastAsia="Times New Roman" w:hAnsi="Tahoma" w:cs="Tahoma"/>
                <w:b/>
                <w:i/>
                <w:color w:val="000000"/>
                <w:sz w:val="16"/>
                <w:szCs w:val="16"/>
                <w:lang w:eastAsia="es-CO"/>
              </w:rPr>
              <w:t>Anexo</w:t>
            </w:r>
            <w:r w:rsidR="00910CBC">
              <w:rPr>
                <w:rFonts w:ascii="Tahoma" w:eastAsia="Times New Roman" w:hAnsi="Tahoma" w:cs="Tahoma"/>
                <w:b/>
                <w:i/>
                <w:color w:val="000000"/>
                <w:sz w:val="16"/>
                <w:szCs w:val="16"/>
                <w:lang w:eastAsia="es-CO"/>
              </w:rPr>
              <w:t xml:space="preserve"> No. 4</w:t>
            </w:r>
          </w:p>
        </w:tc>
      </w:tr>
      <w:tr w:rsidR="00F06FFF" w:rsidRPr="00F06FFF" w:rsidTr="00090727">
        <w:trPr>
          <w:trHeight w:val="210"/>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F06FFF" w:rsidRPr="00F06FFF" w:rsidRDefault="00F06FFF" w:rsidP="00F06FFF">
            <w:pPr>
              <w:spacing w:after="0" w:line="240" w:lineRule="auto"/>
              <w:rPr>
                <w:rFonts w:ascii="Tahoma" w:eastAsia="Times New Roman" w:hAnsi="Tahoma" w:cs="Tahoma"/>
                <w:color w:val="000000"/>
                <w:sz w:val="16"/>
                <w:szCs w:val="16"/>
                <w:lang w:eastAsia="es-CO"/>
              </w:rPr>
            </w:pPr>
            <w:r w:rsidRPr="00F06FFF">
              <w:rPr>
                <w:rFonts w:ascii="Tahoma" w:eastAsia="Times New Roman" w:hAnsi="Tahoma" w:cs="Tahoma"/>
                <w:color w:val="000000"/>
                <w:sz w:val="16"/>
                <w:szCs w:val="16"/>
                <w:lang w:eastAsia="es-CO"/>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F06FFF" w:rsidRPr="00F06FFF" w:rsidRDefault="00F06FFF" w:rsidP="00F06FFF">
            <w:pPr>
              <w:spacing w:after="0" w:line="240" w:lineRule="auto"/>
              <w:rPr>
                <w:rFonts w:ascii="Tahoma" w:eastAsia="Times New Roman" w:hAnsi="Tahoma" w:cs="Tahoma"/>
                <w:color w:val="000000"/>
                <w:sz w:val="16"/>
                <w:szCs w:val="16"/>
                <w:lang w:eastAsia="es-CO"/>
              </w:rPr>
            </w:pPr>
            <w:r w:rsidRPr="00F06FFF">
              <w:rPr>
                <w:rFonts w:ascii="Tahoma" w:eastAsia="Times New Roman" w:hAnsi="Tahoma" w:cs="Tahoma"/>
                <w:color w:val="000000"/>
                <w:sz w:val="16"/>
                <w:szCs w:val="16"/>
                <w:lang w:eastAsia="es-CO"/>
              </w:rPr>
              <w:t xml:space="preserve">  62.229.850,00 </w:t>
            </w:r>
          </w:p>
        </w:tc>
        <w:tc>
          <w:tcPr>
            <w:tcW w:w="4678" w:type="dxa"/>
            <w:tcBorders>
              <w:top w:val="nil"/>
              <w:left w:val="nil"/>
              <w:bottom w:val="single" w:sz="4" w:space="0" w:color="auto"/>
              <w:right w:val="single" w:sz="4" w:space="0" w:color="auto"/>
            </w:tcBorders>
          </w:tcPr>
          <w:p w:rsidR="00F06FFF" w:rsidRPr="00F06FFF" w:rsidRDefault="00F06FFF" w:rsidP="00F06FFF">
            <w:pPr>
              <w:spacing w:after="0" w:line="240" w:lineRule="auto"/>
              <w:rPr>
                <w:rFonts w:ascii="Tahoma" w:eastAsia="Times New Roman" w:hAnsi="Tahoma" w:cs="Tahoma"/>
                <w:color w:val="000000"/>
                <w:sz w:val="16"/>
                <w:szCs w:val="16"/>
                <w:lang w:eastAsia="es-CO"/>
              </w:rPr>
            </w:pPr>
          </w:p>
        </w:tc>
      </w:tr>
    </w:tbl>
    <w:p w:rsidR="00F06FFF" w:rsidRDefault="00F06FFF" w:rsidP="00F06FFF">
      <w:pPr>
        <w:spacing w:line="240" w:lineRule="auto"/>
        <w:jc w:val="both"/>
        <w:rPr>
          <w:lang w:val="es-ES"/>
        </w:rPr>
      </w:pPr>
    </w:p>
    <w:p w:rsidR="00F06FFF" w:rsidRPr="00A62BC3" w:rsidRDefault="00F06FFF" w:rsidP="00A62BC3">
      <w:pPr>
        <w:pStyle w:val="Prrafodelista"/>
        <w:numPr>
          <w:ilvl w:val="1"/>
          <w:numId w:val="2"/>
        </w:numPr>
        <w:spacing w:line="240" w:lineRule="auto"/>
        <w:jc w:val="both"/>
        <w:rPr>
          <w:lang w:val="es-ES"/>
        </w:rPr>
      </w:pPr>
      <w:r w:rsidRPr="00A62BC3">
        <w:rPr>
          <w:lang w:val="es-ES"/>
        </w:rPr>
        <w:t xml:space="preserve"> Adición recursos del balance</w:t>
      </w:r>
      <w:r w:rsidR="006F14B8" w:rsidRPr="00A62BC3">
        <w:rPr>
          <w:lang w:val="es-ES"/>
        </w:rPr>
        <w:t>, fuente de financiación</w:t>
      </w:r>
      <w:r w:rsidRPr="00A62BC3">
        <w:rPr>
          <w:lang w:val="es-ES"/>
        </w:rPr>
        <w:t xml:space="preserve"> Transferencias MEN Cooperativas</w:t>
      </w:r>
      <w:r w:rsidR="00FA4D75" w:rsidRPr="00A62BC3">
        <w:rPr>
          <w:lang w:val="es-ES"/>
        </w:rPr>
        <w:t>,</w:t>
      </w:r>
      <w:r w:rsidRPr="00A62BC3">
        <w:rPr>
          <w:lang w:val="es-ES"/>
        </w:rPr>
        <w:t xml:space="preserve"> por un valor de DOSCIENTOS SESENTA Y TRES MILLONES OCHOCIENTOS SESENTA Y OCHO MIL CUATROCIENTOS VEINTI UN PESOS ($263.865.421).</w:t>
      </w:r>
    </w:p>
    <w:tbl>
      <w:tblPr>
        <w:tblW w:w="8293" w:type="dxa"/>
        <w:tblInd w:w="633" w:type="dxa"/>
        <w:tblCellMar>
          <w:left w:w="70" w:type="dxa"/>
          <w:right w:w="70" w:type="dxa"/>
        </w:tblCellMar>
        <w:tblLook w:val="04A0" w:firstRow="1" w:lastRow="0" w:firstColumn="1" w:lastColumn="0" w:noHBand="0" w:noVBand="1"/>
      </w:tblPr>
      <w:tblGrid>
        <w:gridCol w:w="2197"/>
        <w:gridCol w:w="1276"/>
        <w:gridCol w:w="4820"/>
      </w:tblGrid>
      <w:tr w:rsidR="00632E8A" w:rsidRPr="00632E8A" w:rsidTr="00275331">
        <w:trPr>
          <w:trHeight w:val="225"/>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2E8A" w:rsidRPr="00117964" w:rsidRDefault="00632E8A" w:rsidP="00632E8A">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DETALLE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32E8A" w:rsidRPr="00117964" w:rsidRDefault="00632E8A" w:rsidP="00632E8A">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VALOR</w:t>
            </w:r>
          </w:p>
        </w:tc>
        <w:tc>
          <w:tcPr>
            <w:tcW w:w="4820" w:type="dxa"/>
            <w:tcBorders>
              <w:top w:val="single" w:sz="4" w:space="0" w:color="auto"/>
              <w:left w:val="nil"/>
              <w:bottom w:val="single" w:sz="4" w:space="0" w:color="auto"/>
              <w:right w:val="single" w:sz="4" w:space="0" w:color="auto"/>
            </w:tcBorders>
          </w:tcPr>
          <w:p w:rsidR="00632E8A" w:rsidRPr="00117964" w:rsidRDefault="00632E8A" w:rsidP="00632E8A">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JUSTIFICACION</w:t>
            </w:r>
          </w:p>
        </w:tc>
      </w:tr>
      <w:tr w:rsidR="00632E8A" w:rsidRPr="00632E8A" w:rsidTr="00275331">
        <w:trPr>
          <w:trHeight w:val="225"/>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E8A" w:rsidRPr="00632E8A" w:rsidRDefault="00632E8A" w:rsidP="00421A66">
            <w:pPr>
              <w:spacing w:after="0" w:line="240" w:lineRule="auto"/>
              <w:rPr>
                <w:rFonts w:ascii="Arial" w:eastAsia="Times New Roman" w:hAnsi="Arial" w:cs="Arial"/>
                <w:color w:val="000000"/>
                <w:sz w:val="16"/>
                <w:szCs w:val="16"/>
                <w:lang w:eastAsia="es-CO"/>
              </w:rPr>
            </w:pPr>
            <w:r w:rsidRPr="00632E8A">
              <w:rPr>
                <w:rFonts w:ascii="Arial" w:eastAsia="Times New Roman" w:hAnsi="Arial" w:cs="Arial"/>
                <w:color w:val="000000"/>
                <w:sz w:val="16"/>
                <w:szCs w:val="16"/>
                <w:lang w:eastAsia="es-CO"/>
              </w:rPr>
              <w:t xml:space="preserve">Abogado especialista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32E8A" w:rsidRPr="00632E8A" w:rsidRDefault="00632E8A" w:rsidP="00CF11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12.767.632,00 </w:t>
            </w:r>
          </w:p>
        </w:tc>
        <w:tc>
          <w:tcPr>
            <w:tcW w:w="4820" w:type="dxa"/>
            <w:tcBorders>
              <w:top w:val="single" w:sz="4" w:space="0" w:color="auto"/>
              <w:left w:val="nil"/>
              <w:bottom w:val="single" w:sz="4" w:space="0" w:color="auto"/>
              <w:right w:val="single" w:sz="4" w:space="0" w:color="auto"/>
            </w:tcBorders>
            <w:shd w:val="clear" w:color="auto" w:fill="auto"/>
          </w:tcPr>
          <w:p w:rsidR="00632E8A" w:rsidRPr="00A62BC3" w:rsidRDefault="00A62BC3" w:rsidP="00A604FC">
            <w:pPr>
              <w:spacing w:after="0" w:line="240" w:lineRule="auto"/>
              <w:jc w:val="both"/>
              <w:rPr>
                <w:rFonts w:ascii="Tahoma" w:eastAsia="Times New Roman" w:hAnsi="Tahoma" w:cs="Tahoma"/>
                <w:sz w:val="16"/>
                <w:szCs w:val="16"/>
                <w:lang w:eastAsia="es-CO"/>
              </w:rPr>
            </w:pPr>
            <w:r w:rsidRPr="00A62BC3">
              <w:rPr>
                <w:rFonts w:ascii="Tahoma" w:eastAsia="Times New Roman" w:hAnsi="Tahoma" w:cs="Tahoma"/>
                <w:sz w:val="16"/>
                <w:szCs w:val="16"/>
                <w:lang w:eastAsia="es-CO"/>
              </w:rPr>
              <w:t xml:space="preserve">El aumento de los procesos de contratación producto de los nuevos recursos evidencia la necesidad de un profesional en derecho para el apoyo al proceso de contratación del área jurídica, </w:t>
            </w:r>
            <w:r w:rsidR="00A604FC">
              <w:rPr>
                <w:rFonts w:ascii="Tahoma" w:eastAsia="Times New Roman" w:hAnsi="Tahoma" w:cs="Tahoma"/>
                <w:sz w:val="16"/>
                <w:szCs w:val="16"/>
                <w:lang w:eastAsia="es-CO"/>
              </w:rPr>
              <w:t xml:space="preserve">división administrativa y otras áreas, </w:t>
            </w:r>
            <w:r w:rsidRPr="00A62BC3">
              <w:rPr>
                <w:rFonts w:ascii="Tahoma" w:eastAsia="Times New Roman" w:hAnsi="Tahoma" w:cs="Tahoma"/>
                <w:sz w:val="16"/>
                <w:szCs w:val="16"/>
                <w:lang w:eastAsia="es-CO"/>
              </w:rPr>
              <w:t xml:space="preserve">se planeó por un término </w:t>
            </w:r>
            <w:r w:rsidR="00A604FC">
              <w:rPr>
                <w:rFonts w:ascii="Tahoma" w:eastAsia="Times New Roman" w:hAnsi="Tahoma" w:cs="Tahoma"/>
                <w:sz w:val="16"/>
                <w:szCs w:val="16"/>
                <w:lang w:eastAsia="es-CO"/>
              </w:rPr>
              <w:t>10.5</w:t>
            </w:r>
            <w:r w:rsidRPr="00A62BC3">
              <w:rPr>
                <w:rFonts w:ascii="Tahoma" w:eastAsia="Times New Roman" w:hAnsi="Tahoma" w:cs="Tahoma"/>
                <w:sz w:val="16"/>
                <w:szCs w:val="16"/>
                <w:lang w:eastAsia="es-CO"/>
              </w:rPr>
              <w:t xml:space="preserve"> meses para el año 2020, </w:t>
            </w:r>
            <w:r w:rsidR="00A604FC">
              <w:rPr>
                <w:rFonts w:ascii="Tahoma" w:eastAsia="Times New Roman" w:hAnsi="Tahoma" w:cs="Tahoma"/>
                <w:sz w:val="16"/>
                <w:szCs w:val="16"/>
                <w:lang w:eastAsia="es-CO"/>
              </w:rPr>
              <w:t xml:space="preserve">inicialmente se incorporó al presupuesto vigencia 2020 lo correspondiente a 7 meses, quedando pendiente de adición 3.5 meses, los cuales se solicitan  </w:t>
            </w:r>
            <w:r w:rsidR="00A66B16">
              <w:rPr>
                <w:rFonts w:ascii="Tahoma" w:eastAsia="Times New Roman" w:hAnsi="Tahoma" w:cs="Tahoma"/>
                <w:sz w:val="16"/>
                <w:szCs w:val="16"/>
                <w:lang w:eastAsia="es-CO"/>
              </w:rPr>
              <w:t xml:space="preserve">en </w:t>
            </w:r>
            <w:r w:rsidR="00A604FC">
              <w:rPr>
                <w:rFonts w:ascii="Tahoma" w:eastAsia="Times New Roman" w:hAnsi="Tahoma" w:cs="Tahoma"/>
                <w:sz w:val="16"/>
                <w:szCs w:val="16"/>
                <w:lang w:eastAsia="es-CO"/>
              </w:rPr>
              <w:t>la presente adición de recursos</w:t>
            </w:r>
            <w:r w:rsidRPr="00A62BC3">
              <w:rPr>
                <w:rFonts w:ascii="Tahoma" w:eastAsia="Times New Roman" w:hAnsi="Tahoma" w:cs="Tahoma"/>
                <w:sz w:val="16"/>
                <w:szCs w:val="16"/>
                <w:lang w:eastAsia="es-CO"/>
              </w:rPr>
              <w:t xml:space="preserve"> </w:t>
            </w:r>
            <w:r w:rsidRPr="00A62BC3">
              <w:rPr>
                <w:rFonts w:ascii="Tahoma" w:eastAsia="Times New Roman" w:hAnsi="Tahoma" w:cs="Tahoma"/>
                <w:b/>
                <w:i/>
                <w:sz w:val="16"/>
                <w:szCs w:val="16"/>
                <w:lang w:eastAsia="es-CO"/>
              </w:rPr>
              <w:t>Anexo No. 5.</w:t>
            </w:r>
          </w:p>
        </w:tc>
      </w:tr>
      <w:tr w:rsidR="007A5B36" w:rsidRPr="00632E8A" w:rsidTr="00275331">
        <w:trPr>
          <w:trHeight w:val="225"/>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7A5B36" w:rsidRPr="00632E8A" w:rsidRDefault="007A5B36" w:rsidP="007A5B36">
            <w:pPr>
              <w:spacing w:after="0" w:line="240" w:lineRule="auto"/>
              <w:rPr>
                <w:rFonts w:ascii="Arial" w:eastAsia="Times New Roman" w:hAnsi="Arial" w:cs="Arial"/>
                <w:color w:val="000000"/>
                <w:sz w:val="16"/>
                <w:szCs w:val="16"/>
                <w:lang w:eastAsia="es-CO"/>
              </w:rPr>
            </w:pPr>
            <w:r w:rsidRPr="00632E8A">
              <w:rPr>
                <w:rFonts w:ascii="Arial" w:eastAsia="Times New Roman" w:hAnsi="Arial" w:cs="Arial"/>
                <w:color w:val="000000"/>
                <w:sz w:val="16"/>
                <w:szCs w:val="16"/>
                <w:lang w:eastAsia="es-CO"/>
              </w:rPr>
              <w:t>Asesoría en el área de salud</w:t>
            </w:r>
          </w:p>
        </w:tc>
        <w:tc>
          <w:tcPr>
            <w:tcW w:w="1276" w:type="dxa"/>
            <w:tcBorders>
              <w:top w:val="nil"/>
              <w:left w:val="nil"/>
              <w:bottom w:val="single" w:sz="4" w:space="0" w:color="auto"/>
              <w:right w:val="single" w:sz="4" w:space="0" w:color="auto"/>
            </w:tcBorders>
            <w:shd w:val="clear" w:color="auto" w:fill="auto"/>
            <w:noWrap/>
            <w:vAlign w:val="bottom"/>
            <w:hideMark/>
          </w:tcPr>
          <w:p w:rsidR="007A5B36" w:rsidRPr="00632E8A" w:rsidRDefault="007A5B36" w:rsidP="00CF11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12.750.000,00 </w:t>
            </w:r>
          </w:p>
        </w:tc>
        <w:tc>
          <w:tcPr>
            <w:tcW w:w="4820" w:type="dxa"/>
            <w:tcBorders>
              <w:top w:val="nil"/>
              <w:left w:val="nil"/>
              <w:bottom w:val="single" w:sz="4" w:space="0" w:color="auto"/>
              <w:right w:val="single" w:sz="4" w:space="0" w:color="auto"/>
            </w:tcBorders>
            <w:shd w:val="clear" w:color="auto" w:fill="auto"/>
          </w:tcPr>
          <w:p w:rsidR="007A5B36" w:rsidRPr="00632E8A" w:rsidRDefault="00DA42AA" w:rsidP="008075E4">
            <w:pPr>
              <w:spacing w:after="0" w:line="240" w:lineRule="auto"/>
              <w:jc w:val="both"/>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 xml:space="preserve">La necesidad de una asesoría en la aplicación y ejecución del plan de seguridad y salud en el trabajo, se planeó por un término 8.5 meses para el año 2020, esta contratación esta aplazada por motivos de programación presupuestal inicial </w:t>
            </w:r>
            <w:r w:rsidR="00910CBC" w:rsidRPr="00A11737">
              <w:rPr>
                <w:rFonts w:ascii="Tahoma" w:eastAsia="Times New Roman" w:hAnsi="Tahoma" w:cs="Tahoma"/>
                <w:b/>
                <w:i/>
                <w:color w:val="000000"/>
                <w:sz w:val="16"/>
                <w:szCs w:val="16"/>
                <w:lang w:eastAsia="es-CO"/>
              </w:rPr>
              <w:t>Anexo</w:t>
            </w:r>
            <w:r w:rsidR="00910CBC">
              <w:rPr>
                <w:rFonts w:ascii="Tahoma" w:eastAsia="Times New Roman" w:hAnsi="Tahoma" w:cs="Tahoma"/>
                <w:b/>
                <w:i/>
                <w:color w:val="000000"/>
                <w:sz w:val="16"/>
                <w:szCs w:val="16"/>
                <w:lang w:eastAsia="es-CO"/>
              </w:rPr>
              <w:t xml:space="preserve"> No. 6</w:t>
            </w:r>
          </w:p>
        </w:tc>
      </w:tr>
      <w:tr w:rsidR="007A5B36" w:rsidRPr="00632E8A" w:rsidTr="00275331">
        <w:trPr>
          <w:trHeight w:val="225"/>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7A5B36" w:rsidRPr="00632E8A" w:rsidRDefault="007A5B36" w:rsidP="007A5B36">
            <w:pPr>
              <w:spacing w:after="0" w:line="240" w:lineRule="auto"/>
              <w:rPr>
                <w:rFonts w:ascii="Arial" w:eastAsia="Times New Roman" w:hAnsi="Arial" w:cs="Arial"/>
                <w:color w:val="000000"/>
                <w:sz w:val="16"/>
                <w:szCs w:val="16"/>
                <w:lang w:eastAsia="es-CO"/>
              </w:rPr>
            </w:pPr>
            <w:r w:rsidRPr="00632E8A">
              <w:rPr>
                <w:rFonts w:ascii="Arial" w:eastAsia="Times New Roman" w:hAnsi="Arial" w:cs="Arial"/>
                <w:color w:val="000000"/>
                <w:sz w:val="16"/>
                <w:szCs w:val="16"/>
                <w:lang w:eastAsia="es-CO"/>
              </w:rPr>
              <w:t>Tecnólogo apoyo en contratación</w:t>
            </w:r>
          </w:p>
        </w:tc>
        <w:tc>
          <w:tcPr>
            <w:tcW w:w="1276" w:type="dxa"/>
            <w:tcBorders>
              <w:top w:val="nil"/>
              <w:left w:val="nil"/>
              <w:bottom w:val="single" w:sz="4" w:space="0" w:color="auto"/>
              <w:right w:val="single" w:sz="4" w:space="0" w:color="auto"/>
            </w:tcBorders>
            <w:shd w:val="clear" w:color="auto" w:fill="auto"/>
            <w:noWrap/>
            <w:vAlign w:val="bottom"/>
            <w:hideMark/>
          </w:tcPr>
          <w:p w:rsidR="007A5B36" w:rsidRPr="00632E8A" w:rsidRDefault="007A5B36" w:rsidP="00CF11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7.632.429,00 </w:t>
            </w:r>
          </w:p>
        </w:tc>
        <w:tc>
          <w:tcPr>
            <w:tcW w:w="4820" w:type="dxa"/>
            <w:tcBorders>
              <w:top w:val="nil"/>
              <w:left w:val="nil"/>
              <w:bottom w:val="single" w:sz="4" w:space="0" w:color="auto"/>
              <w:right w:val="single" w:sz="4" w:space="0" w:color="auto"/>
            </w:tcBorders>
            <w:shd w:val="clear" w:color="auto" w:fill="auto"/>
          </w:tcPr>
          <w:p w:rsidR="007A5B36" w:rsidRPr="00632E8A" w:rsidRDefault="007A5B36" w:rsidP="00CF11C3">
            <w:pPr>
              <w:spacing w:after="0" w:line="240" w:lineRule="auto"/>
              <w:jc w:val="both"/>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 xml:space="preserve">La necesidad de este Tecnólogo se planeó para un total en el año de 11 meses, por motivos presupuestales se debió suscribir un contrato inicial por 8 meses, quedando pendiente de contratar 3 meses los cuales son solicitados en esta adicción. </w:t>
            </w:r>
            <w:r w:rsidR="00910CBC" w:rsidRPr="00A11737">
              <w:rPr>
                <w:rFonts w:ascii="Tahoma" w:eastAsia="Times New Roman" w:hAnsi="Tahoma" w:cs="Tahoma"/>
                <w:b/>
                <w:i/>
                <w:color w:val="000000"/>
                <w:sz w:val="16"/>
                <w:szCs w:val="16"/>
                <w:lang w:eastAsia="es-CO"/>
              </w:rPr>
              <w:t>Anexo</w:t>
            </w:r>
            <w:r w:rsidR="00910CBC">
              <w:rPr>
                <w:rFonts w:ascii="Tahoma" w:eastAsia="Times New Roman" w:hAnsi="Tahoma" w:cs="Tahoma"/>
                <w:b/>
                <w:i/>
                <w:color w:val="000000"/>
                <w:sz w:val="16"/>
                <w:szCs w:val="16"/>
                <w:lang w:eastAsia="es-CO"/>
              </w:rPr>
              <w:t xml:space="preserve"> No. 7</w:t>
            </w:r>
          </w:p>
        </w:tc>
      </w:tr>
      <w:tr w:rsidR="00A62BC3" w:rsidRPr="00632E8A" w:rsidTr="00275331">
        <w:trPr>
          <w:trHeight w:val="225"/>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A62BC3" w:rsidRPr="00632E8A" w:rsidRDefault="00A62BC3" w:rsidP="00A62BC3">
            <w:pPr>
              <w:spacing w:after="0" w:line="240" w:lineRule="auto"/>
              <w:rPr>
                <w:rFonts w:ascii="Arial" w:eastAsia="Times New Roman" w:hAnsi="Arial" w:cs="Arial"/>
                <w:color w:val="000000"/>
                <w:sz w:val="16"/>
                <w:szCs w:val="16"/>
                <w:lang w:eastAsia="es-CO"/>
              </w:rPr>
            </w:pPr>
            <w:r w:rsidRPr="00632E8A">
              <w:rPr>
                <w:rFonts w:ascii="Arial" w:eastAsia="Times New Roman" w:hAnsi="Arial" w:cs="Arial"/>
                <w:color w:val="000000"/>
                <w:sz w:val="16"/>
                <w:szCs w:val="16"/>
                <w:lang w:eastAsia="es-CO"/>
              </w:rPr>
              <w:t>Tecnólogo para acreditación</w:t>
            </w:r>
          </w:p>
        </w:tc>
        <w:tc>
          <w:tcPr>
            <w:tcW w:w="1276" w:type="dxa"/>
            <w:tcBorders>
              <w:top w:val="nil"/>
              <w:left w:val="nil"/>
              <w:bottom w:val="single" w:sz="4" w:space="0" w:color="auto"/>
              <w:right w:val="single" w:sz="4" w:space="0" w:color="auto"/>
            </w:tcBorders>
            <w:shd w:val="clear" w:color="auto" w:fill="auto"/>
            <w:noWrap/>
            <w:vAlign w:val="bottom"/>
            <w:hideMark/>
          </w:tcPr>
          <w:p w:rsidR="00A62BC3" w:rsidRPr="00632E8A" w:rsidRDefault="00A62BC3" w:rsidP="00A62B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6.459.021,00 </w:t>
            </w:r>
          </w:p>
        </w:tc>
        <w:tc>
          <w:tcPr>
            <w:tcW w:w="4820" w:type="dxa"/>
            <w:tcBorders>
              <w:top w:val="nil"/>
              <w:left w:val="nil"/>
              <w:bottom w:val="single" w:sz="4" w:space="0" w:color="auto"/>
              <w:right w:val="single" w:sz="4" w:space="0" w:color="auto"/>
            </w:tcBorders>
            <w:shd w:val="clear" w:color="auto" w:fill="auto"/>
          </w:tcPr>
          <w:p w:rsidR="00A62BC3" w:rsidRPr="00A62BC3" w:rsidRDefault="00A62BC3" w:rsidP="00A62BC3">
            <w:pPr>
              <w:spacing w:after="0" w:line="240" w:lineRule="auto"/>
              <w:jc w:val="both"/>
              <w:rPr>
                <w:rFonts w:ascii="Tahoma" w:eastAsia="Times New Roman" w:hAnsi="Tahoma" w:cs="Tahoma"/>
                <w:sz w:val="16"/>
                <w:szCs w:val="16"/>
                <w:lang w:eastAsia="es-CO"/>
              </w:rPr>
            </w:pPr>
            <w:r w:rsidRPr="00A62BC3">
              <w:rPr>
                <w:rFonts w:ascii="Tahoma" w:eastAsia="Times New Roman" w:hAnsi="Tahoma" w:cs="Tahoma"/>
                <w:sz w:val="16"/>
                <w:szCs w:val="16"/>
                <w:lang w:eastAsia="es-CO"/>
              </w:rPr>
              <w:t xml:space="preserve">La necesidad de un tecnólogo para el apoyo a los procesos de autoevaluación con fines de acreditación en los temas relacionados con el desarrollo de los esquemas de información de los 272 aspectos a considerar que contempla el modelo y dado que se ha iniciado el proceso formal con fines de acreditación de los programas del área contable y se iniciará el proceso de apreciación de condiciones iniciales de los programas del área forestal, se requiere del apoyo.  Es de anotar que este proceso es coordinado desde la oficina de planeación.  El apoyo ha sido solicitado por un término de 11 meses para el año 2020, por motivos presupuestales se debió suscribir un contrato inicial por 8 meses, quedando pendiente de contratar 3 meses los cuales son solicitados en esta adicción. </w:t>
            </w:r>
            <w:r w:rsidRPr="00A62BC3">
              <w:rPr>
                <w:rFonts w:ascii="Tahoma" w:eastAsia="Times New Roman" w:hAnsi="Tahoma" w:cs="Tahoma"/>
                <w:b/>
                <w:i/>
                <w:sz w:val="16"/>
                <w:szCs w:val="16"/>
                <w:lang w:eastAsia="es-CO"/>
              </w:rPr>
              <w:t>Anexo No. 8</w:t>
            </w:r>
          </w:p>
        </w:tc>
      </w:tr>
      <w:tr w:rsidR="007A5B36" w:rsidRPr="00632E8A" w:rsidTr="00275331">
        <w:trPr>
          <w:trHeight w:val="225"/>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7A5B36" w:rsidRPr="00632E8A" w:rsidRDefault="007A5B36" w:rsidP="007A5B36">
            <w:pPr>
              <w:spacing w:after="0" w:line="240" w:lineRule="auto"/>
              <w:rPr>
                <w:rFonts w:ascii="Arial" w:eastAsia="Times New Roman" w:hAnsi="Arial" w:cs="Arial"/>
                <w:color w:val="000000"/>
                <w:sz w:val="16"/>
                <w:szCs w:val="16"/>
                <w:lang w:eastAsia="es-CO"/>
              </w:rPr>
            </w:pPr>
            <w:r w:rsidRPr="00632E8A">
              <w:rPr>
                <w:rFonts w:ascii="Arial" w:eastAsia="Times New Roman" w:hAnsi="Arial" w:cs="Arial"/>
                <w:color w:val="000000"/>
                <w:sz w:val="16"/>
                <w:szCs w:val="16"/>
                <w:lang w:eastAsia="es-CO"/>
              </w:rPr>
              <w:t>Profesional en área administrativa y financiera</w:t>
            </w:r>
          </w:p>
        </w:tc>
        <w:tc>
          <w:tcPr>
            <w:tcW w:w="1276" w:type="dxa"/>
            <w:tcBorders>
              <w:top w:val="nil"/>
              <w:left w:val="nil"/>
              <w:bottom w:val="single" w:sz="4" w:space="0" w:color="auto"/>
              <w:right w:val="single" w:sz="4" w:space="0" w:color="auto"/>
            </w:tcBorders>
            <w:shd w:val="clear" w:color="auto" w:fill="auto"/>
            <w:noWrap/>
            <w:vAlign w:val="bottom"/>
            <w:hideMark/>
          </w:tcPr>
          <w:p w:rsidR="007A5B36" w:rsidRPr="00632E8A" w:rsidRDefault="007A5B36" w:rsidP="00CF11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4.402.923,00 </w:t>
            </w:r>
          </w:p>
        </w:tc>
        <w:tc>
          <w:tcPr>
            <w:tcW w:w="4820" w:type="dxa"/>
            <w:tcBorders>
              <w:top w:val="nil"/>
              <w:left w:val="nil"/>
              <w:bottom w:val="single" w:sz="4" w:space="0" w:color="auto"/>
              <w:right w:val="single" w:sz="4" w:space="0" w:color="auto"/>
            </w:tcBorders>
            <w:shd w:val="clear" w:color="auto" w:fill="auto"/>
          </w:tcPr>
          <w:p w:rsidR="007A5B36" w:rsidRPr="00632E8A" w:rsidRDefault="00CF11C3" w:rsidP="00B0219F">
            <w:pPr>
              <w:spacing w:after="0" w:line="240" w:lineRule="auto"/>
              <w:jc w:val="both"/>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 xml:space="preserve">La necesidad de un profesional </w:t>
            </w:r>
            <w:r w:rsidR="00427AD7">
              <w:rPr>
                <w:rFonts w:ascii="Tahoma" w:eastAsia="Times New Roman" w:hAnsi="Tahoma" w:cs="Tahoma"/>
                <w:color w:val="000000"/>
                <w:sz w:val="16"/>
                <w:szCs w:val="16"/>
                <w:lang w:eastAsia="es-CO"/>
              </w:rPr>
              <w:t xml:space="preserve">para el área administrativo y financiera (Presupuesto, Contabilidad y Pagaduría), </w:t>
            </w:r>
            <w:r w:rsidR="002D1397">
              <w:rPr>
                <w:rFonts w:ascii="Tahoma" w:eastAsia="Times New Roman" w:hAnsi="Tahoma" w:cs="Tahoma"/>
                <w:color w:val="000000"/>
                <w:sz w:val="16"/>
                <w:szCs w:val="16"/>
                <w:lang w:eastAsia="es-CO"/>
              </w:rPr>
              <w:t xml:space="preserve">se planeó por un término de 11 </w:t>
            </w:r>
            <w:r>
              <w:rPr>
                <w:rFonts w:ascii="Tahoma" w:eastAsia="Times New Roman" w:hAnsi="Tahoma" w:cs="Tahoma"/>
                <w:color w:val="000000"/>
                <w:sz w:val="16"/>
                <w:szCs w:val="16"/>
                <w:lang w:eastAsia="es-CO"/>
              </w:rPr>
              <w:t xml:space="preserve">meses para el año 2020, </w:t>
            </w:r>
            <w:r w:rsidR="00427AD7">
              <w:rPr>
                <w:rFonts w:ascii="Tahoma" w:eastAsia="Times New Roman" w:hAnsi="Tahoma" w:cs="Tahoma"/>
                <w:color w:val="000000"/>
                <w:sz w:val="16"/>
                <w:szCs w:val="16"/>
                <w:lang w:eastAsia="es-CO"/>
              </w:rPr>
              <w:t xml:space="preserve">por motivos </w:t>
            </w:r>
            <w:r w:rsidR="00427AD7">
              <w:rPr>
                <w:rFonts w:ascii="Tahoma" w:eastAsia="Times New Roman" w:hAnsi="Tahoma" w:cs="Tahoma"/>
                <w:color w:val="000000"/>
                <w:sz w:val="16"/>
                <w:szCs w:val="16"/>
                <w:lang w:eastAsia="es-CO"/>
              </w:rPr>
              <w:lastRenderedPageBreak/>
              <w:t xml:space="preserve">presupuestales se debió suscribir un contrato inicial por 9.5 meses, quedando pendiente de contratar 1.5 meses los cuales son solicitados en esta adicción. </w:t>
            </w:r>
            <w:r w:rsidR="00910CBC" w:rsidRPr="00A11737">
              <w:rPr>
                <w:rFonts w:ascii="Tahoma" w:eastAsia="Times New Roman" w:hAnsi="Tahoma" w:cs="Tahoma"/>
                <w:b/>
                <w:i/>
                <w:color w:val="000000"/>
                <w:sz w:val="16"/>
                <w:szCs w:val="16"/>
                <w:lang w:eastAsia="es-CO"/>
              </w:rPr>
              <w:t>Anexo</w:t>
            </w:r>
            <w:r w:rsidR="00910CBC">
              <w:rPr>
                <w:rFonts w:ascii="Tahoma" w:eastAsia="Times New Roman" w:hAnsi="Tahoma" w:cs="Tahoma"/>
                <w:b/>
                <w:i/>
                <w:color w:val="000000"/>
                <w:sz w:val="16"/>
                <w:szCs w:val="16"/>
                <w:lang w:eastAsia="es-CO"/>
              </w:rPr>
              <w:t xml:space="preserve"> No. 9</w:t>
            </w:r>
          </w:p>
        </w:tc>
      </w:tr>
      <w:tr w:rsidR="00A62BC3" w:rsidRPr="00632E8A" w:rsidTr="00275331">
        <w:trPr>
          <w:trHeight w:val="225"/>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A62BC3" w:rsidRPr="00632E8A" w:rsidRDefault="00A62BC3" w:rsidP="00A62BC3">
            <w:pPr>
              <w:spacing w:after="0" w:line="240" w:lineRule="auto"/>
              <w:rPr>
                <w:rFonts w:ascii="Arial" w:eastAsia="Times New Roman" w:hAnsi="Arial" w:cs="Arial"/>
                <w:color w:val="000000"/>
                <w:sz w:val="16"/>
                <w:szCs w:val="16"/>
                <w:lang w:eastAsia="es-CO"/>
              </w:rPr>
            </w:pPr>
            <w:r w:rsidRPr="00632E8A">
              <w:rPr>
                <w:rFonts w:ascii="Arial" w:eastAsia="Times New Roman" w:hAnsi="Arial" w:cs="Arial"/>
                <w:color w:val="000000"/>
                <w:sz w:val="16"/>
                <w:szCs w:val="16"/>
                <w:lang w:eastAsia="es-CO"/>
              </w:rPr>
              <w:lastRenderedPageBreak/>
              <w:t>Profesional para apoyo de talento humano</w:t>
            </w:r>
          </w:p>
        </w:tc>
        <w:tc>
          <w:tcPr>
            <w:tcW w:w="1276" w:type="dxa"/>
            <w:tcBorders>
              <w:top w:val="nil"/>
              <w:left w:val="nil"/>
              <w:bottom w:val="single" w:sz="4" w:space="0" w:color="auto"/>
              <w:right w:val="single" w:sz="4" w:space="0" w:color="auto"/>
            </w:tcBorders>
            <w:shd w:val="clear" w:color="auto" w:fill="auto"/>
            <w:noWrap/>
            <w:vAlign w:val="bottom"/>
            <w:hideMark/>
          </w:tcPr>
          <w:p w:rsidR="00A62BC3" w:rsidRPr="00632E8A" w:rsidRDefault="00A62BC3" w:rsidP="00A62B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10.317.371,00 </w:t>
            </w:r>
          </w:p>
        </w:tc>
        <w:tc>
          <w:tcPr>
            <w:tcW w:w="4820" w:type="dxa"/>
            <w:tcBorders>
              <w:top w:val="nil"/>
              <w:left w:val="nil"/>
              <w:bottom w:val="single" w:sz="4" w:space="0" w:color="auto"/>
              <w:right w:val="single" w:sz="4" w:space="0" w:color="auto"/>
            </w:tcBorders>
            <w:shd w:val="clear" w:color="auto" w:fill="auto"/>
          </w:tcPr>
          <w:p w:rsidR="00A62BC3" w:rsidRPr="00A62BC3" w:rsidRDefault="00A62BC3" w:rsidP="00A62BC3">
            <w:pPr>
              <w:spacing w:after="0" w:line="240" w:lineRule="auto"/>
              <w:jc w:val="both"/>
              <w:rPr>
                <w:rFonts w:ascii="Tahoma" w:eastAsia="Times New Roman" w:hAnsi="Tahoma" w:cs="Tahoma"/>
                <w:sz w:val="16"/>
                <w:szCs w:val="16"/>
                <w:lang w:eastAsia="es-CO"/>
              </w:rPr>
            </w:pPr>
            <w:r w:rsidRPr="00A62BC3">
              <w:rPr>
                <w:rFonts w:ascii="Tahoma" w:eastAsia="Times New Roman" w:hAnsi="Tahoma" w:cs="Tahoma"/>
                <w:sz w:val="16"/>
                <w:szCs w:val="16"/>
                <w:lang w:eastAsia="es-CO"/>
              </w:rPr>
              <w:t xml:space="preserve">La necesidad de un profesional para apoyo a la oficina de talento humano se da por la necesidad de realizar un análisis de cargas de trabajo que permitan realizar la presentación de la propuesta de reestructuración de la planta de personal de la IES CINOC, dentro del proyecto de Cambio de carácter académico de la Entidad. Inicialmente se planeó este contrato por 10.5 meses para el año 2020, por motivos presupuestales se debió suscribir un contrato inicial por 7 meses, quedando pendiente de contratar 3.5 meses los cuales son solicitados en esta adicción. </w:t>
            </w:r>
            <w:r w:rsidRPr="00A62BC3">
              <w:rPr>
                <w:rFonts w:ascii="Tahoma" w:eastAsia="Times New Roman" w:hAnsi="Tahoma" w:cs="Tahoma"/>
                <w:b/>
                <w:i/>
                <w:sz w:val="16"/>
                <w:szCs w:val="16"/>
                <w:lang w:eastAsia="es-CO"/>
              </w:rPr>
              <w:t>Anexo No. 10</w:t>
            </w:r>
          </w:p>
        </w:tc>
      </w:tr>
      <w:tr w:rsidR="007A5B36" w:rsidRPr="00632E8A" w:rsidTr="00275331">
        <w:trPr>
          <w:trHeight w:val="225"/>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7A5B36" w:rsidRPr="00632E8A" w:rsidRDefault="007A5B36" w:rsidP="007A5B36">
            <w:pPr>
              <w:spacing w:after="0" w:line="240" w:lineRule="auto"/>
              <w:rPr>
                <w:rFonts w:ascii="Arial" w:eastAsia="Times New Roman" w:hAnsi="Arial" w:cs="Arial"/>
                <w:color w:val="000000"/>
                <w:sz w:val="16"/>
                <w:szCs w:val="16"/>
                <w:lang w:eastAsia="es-CO"/>
              </w:rPr>
            </w:pPr>
            <w:r w:rsidRPr="00632E8A">
              <w:rPr>
                <w:rFonts w:ascii="Arial" w:eastAsia="Times New Roman" w:hAnsi="Arial" w:cs="Arial"/>
                <w:color w:val="000000"/>
                <w:sz w:val="16"/>
                <w:szCs w:val="16"/>
                <w:lang w:eastAsia="es-CO"/>
              </w:rPr>
              <w:t>Tecnólogo en comunicación social y periodismo</w:t>
            </w:r>
          </w:p>
        </w:tc>
        <w:tc>
          <w:tcPr>
            <w:tcW w:w="1276" w:type="dxa"/>
            <w:tcBorders>
              <w:top w:val="nil"/>
              <w:left w:val="nil"/>
              <w:bottom w:val="single" w:sz="4" w:space="0" w:color="auto"/>
              <w:right w:val="single" w:sz="4" w:space="0" w:color="auto"/>
            </w:tcBorders>
            <w:shd w:val="clear" w:color="auto" w:fill="auto"/>
            <w:noWrap/>
            <w:vAlign w:val="bottom"/>
            <w:hideMark/>
          </w:tcPr>
          <w:p w:rsidR="007A5B36" w:rsidRPr="00632E8A" w:rsidRDefault="007A5B36" w:rsidP="00CF11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5.382.518,00 </w:t>
            </w:r>
          </w:p>
        </w:tc>
        <w:tc>
          <w:tcPr>
            <w:tcW w:w="4820" w:type="dxa"/>
            <w:tcBorders>
              <w:top w:val="nil"/>
              <w:left w:val="nil"/>
              <w:bottom w:val="single" w:sz="4" w:space="0" w:color="auto"/>
              <w:right w:val="single" w:sz="4" w:space="0" w:color="auto"/>
            </w:tcBorders>
            <w:shd w:val="clear" w:color="auto" w:fill="auto"/>
          </w:tcPr>
          <w:p w:rsidR="007A5B36" w:rsidRPr="00632E8A" w:rsidRDefault="0013616A" w:rsidP="00AB03FF">
            <w:pPr>
              <w:spacing w:after="0" w:line="240" w:lineRule="auto"/>
              <w:jc w:val="both"/>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 xml:space="preserve">La necesidad de un tecnólogo </w:t>
            </w:r>
            <w:r w:rsidR="00AB03FF">
              <w:rPr>
                <w:rFonts w:ascii="Tahoma" w:eastAsia="Times New Roman" w:hAnsi="Tahoma" w:cs="Tahoma"/>
                <w:color w:val="000000"/>
                <w:sz w:val="16"/>
                <w:szCs w:val="16"/>
                <w:lang w:eastAsia="es-CO"/>
              </w:rPr>
              <w:t>en comunicación social y periodismo</w:t>
            </w:r>
            <w:r>
              <w:rPr>
                <w:rFonts w:ascii="Tahoma" w:eastAsia="Times New Roman" w:hAnsi="Tahoma" w:cs="Tahoma"/>
                <w:color w:val="000000"/>
                <w:sz w:val="16"/>
                <w:szCs w:val="16"/>
                <w:lang w:eastAsia="es-CO"/>
              </w:rPr>
              <w:t xml:space="preserve">, se planeó para cubrir las necesidades </w:t>
            </w:r>
            <w:r w:rsidR="00AB03FF">
              <w:rPr>
                <w:rFonts w:ascii="Tahoma" w:eastAsia="Times New Roman" w:hAnsi="Tahoma" w:cs="Tahoma"/>
                <w:color w:val="000000"/>
                <w:sz w:val="16"/>
                <w:szCs w:val="16"/>
                <w:lang w:eastAsia="es-CO"/>
              </w:rPr>
              <w:t xml:space="preserve">de </w:t>
            </w:r>
            <w:r>
              <w:rPr>
                <w:rFonts w:ascii="Tahoma" w:eastAsia="Times New Roman" w:hAnsi="Tahoma" w:cs="Tahoma"/>
                <w:color w:val="000000"/>
                <w:sz w:val="16"/>
                <w:szCs w:val="16"/>
                <w:lang w:eastAsia="es-CO"/>
              </w:rPr>
              <w:t xml:space="preserve">actualización, manejo y administración de la página web, así como, el manejo de las comunicaciones oficiales de la IES CINOC, inicialmente se planeó un contrato por 11 meses para el año 2020, por motivos presupuestales se debió suscribir un contrato inicial por 8.5 meses, quedando pendiente de contratar 2.5 meses los cuales son solicitados en esta adicción. </w:t>
            </w:r>
            <w:r w:rsidR="00910CBC" w:rsidRPr="00A11737">
              <w:rPr>
                <w:rFonts w:ascii="Tahoma" w:eastAsia="Times New Roman" w:hAnsi="Tahoma" w:cs="Tahoma"/>
                <w:b/>
                <w:i/>
                <w:color w:val="000000"/>
                <w:sz w:val="16"/>
                <w:szCs w:val="16"/>
                <w:lang w:eastAsia="es-CO"/>
              </w:rPr>
              <w:t>Anexo</w:t>
            </w:r>
            <w:r w:rsidR="00910CBC">
              <w:rPr>
                <w:rFonts w:ascii="Tahoma" w:eastAsia="Times New Roman" w:hAnsi="Tahoma" w:cs="Tahoma"/>
                <w:b/>
                <w:i/>
                <w:color w:val="000000"/>
                <w:sz w:val="16"/>
                <w:szCs w:val="16"/>
                <w:lang w:eastAsia="es-CO"/>
              </w:rPr>
              <w:t xml:space="preserve"> No. 11.</w:t>
            </w:r>
          </w:p>
        </w:tc>
      </w:tr>
      <w:tr w:rsidR="00A62BC3" w:rsidRPr="00632E8A" w:rsidTr="00275331">
        <w:trPr>
          <w:trHeight w:val="225"/>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A62BC3" w:rsidRPr="00632E8A" w:rsidRDefault="00A62BC3" w:rsidP="00A62BC3">
            <w:pPr>
              <w:spacing w:after="0" w:line="240" w:lineRule="auto"/>
              <w:rPr>
                <w:rFonts w:ascii="Arial" w:eastAsia="Times New Roman" w:hAnsi="Arial" w:cs="Arial"/>
                <w:color w:val="000000"/>
                <w:sz w:val="16"/>
                <w:szCs w:val="16"/>
                <w:lang w:eastAsia="es-CO"/>
              </w:rPr>
            </w:pPr>
            <w:r w:rsidRPr="00632E8A">
              <w:rPr>
                <w:rFonts w:ascii="Arial" w:eastAsia="Times New Roman" w:hAnsi="Arial" w:cs="Arial"/>
                <w:color w:val="000000"/>
                <w:sz w:val="16"/>
                <w:szCs w:val="16"/>
                <w:lang w:eastAsia="es-CO"/>
              </w:rPr>
              <w:t xml:space="preserve">Técnico en diseño  para </w:t>
            </w:r>
            <w:r>
              <w:rPr>
                <w:rFonts w:ascii="Arial" w:eastAsia="Times New Roman" w:hAnsi="Arial" w:cs="Arial"/>
                <w:color w:val="000000"/>
                <w:sz w:val="16"/>
                <w:szCs w:val="16"/>
                <w:lang w:eastAsia="es-CO"/>
              </w:rPr>
              <w:t>Mercadeo Información y Comunicación –MIC-</w:t>
            </w:r>
          </w:p>
        </w:tc>
        <w:tc>
          <w:tcPr>
            <w:tcW w:w="1276" w:type="dxa"/>
            <w:tcBorders>
              <w:top w:val="nil"/>
              <w:left w:val="nil"/>
              <w:bottom w:val="single" w:sz="4" w:space="0" w:color="auto"/>
              <w:right w:val="single" w:sz="4" w:space="0" w:color="auto"/>
            </w:tcBorders>
            <w:shd w:val="clear" w:color="auto" w:fill="auto"/>
            <w:noWrap/>
            <w:vAlign w:val="bottom"/>
            <w:hideMark/>
          </w:tcPr>
          <w:p w:rsidR="00A62BC3" w:rsidRPr="00632E8A" w:rsidRDefault="00A62BC3" w:rsidP="00A62B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4.713.111,00 </w:t>
            </w:r>
          </w:p>
        </w:tc>
        <w:tc>
          <w:tcPr>
            <w:tcW w:w="4820" w:type="dxa"/>
            <w:tcBorders>
              <w:top w:val="nil"/>
              <w:left w:val="nil"/>
              <w:bottom w:val="single" w:sz="4" w:space="0" w:color="auto"/>
              <w:right w:val="single" w:sz="4" w:space="0" w:color="auto"/>
            </w:tcBorders>
            <w:shd w:val="clear" w:color="auto" w:fill="auto"/>
          </w:tcPr>
          <w:p w:rsidR="00A62BC3" w:rsidRPr="00A62BC3" w:rsidRDefault="00A62BC3" w:rsidP="00A62BC3">
            <w:pPr>
              <w:spacing w:after="0" w:line="240" w:lineRule="auto"/>
              <w:jc w:val="both"/>
              <w:rPr>
                <w:rFonts w:ascii="Tahoma" w:eastAsia="Times New Roman" w:hAnsi="Tahoma" w:cs="Tahoma"/>
                <w:sz w:val="16"/>
                <w:szCs w:val="16"/>
                <w:lang w:eastAsia="es-CO"/>
              </w:rPr>
            </w:pPr>
            <w:r w:rsidRPr="00A62BC3">
              <w:rPr>
                <w:rFonts w:ascii="Tahoma" w:eastAsia="Times New Roman" w:hAnsi="Tahoma" w:cs="Tahoma"/>
                <w:sz w:val="16"/>
                <w:szCs w:val="16"/>
                <w:lang w:eastAsia="es-CO"/>
              </w:rPr>
              <w:t xml:space="preserve">La necesidad de un técnico en diseño, se planeó para cubrir las necesidades de docentes y administrativos en la parte de ayudas educativas y otras solicitudes de diagramación.   Inicialmente se planeó un contrato por 11 meses para el año 2020, por motivos presupuestales se debió suscribir un contrato inicial por 8 meses, quedando pendiente de contratar 3 meses los cuales son solicitados en esta adicción. </w:t>
            </w:r>
            <w:r w:rsidRPr="00A62BC3">
              <w:rPr>
                <w:rFonts w:ascii="Tahoma" w:eastAsia="Times New Roman" w:hAnsi="Tahoma" w:cs="Tahoma"/>
                <w:b/>
                <w:i/>
                <w:sz w:val="16"/>
                <w:szCs w:val="16"/>
                <w:lang w:eastAsia="es-CO"/>
              </w:rPr>
              <w:t>Anexo No. 12.</w:t>
            </w:r>
          </w:p>
        </w:tc>
      </w:tr>
      <w:tr w:rsidR="00A62BC3" w:rsidRPr="00632E8A" w:rsidTr="00275331">
        <w:trPr>
          <w:trHeight w:val="225"/>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A62BC3" w:rsidRPr="00632E8A" w:rsidRDefault="00A62BC3" w:rsidP="00A62BC3">
            <w:pPr>
              <w:spacing w:after="0" w:line="240" w:lineRule="auto"/>
              <w:rPr>
                <w:rFonts w:ascii="Arial" w:eastAsia="Times New Roman" w:hAnsi="Arial" w:cs="Arial"/>
                <w:color w:val="000000"/>
                <w:sz w:val="16"/>
                <w:szCs w:val="16"/>
                <w:lang w:eastAsia="es-CO"/>
              </w:rPr>
            </w:pPr>
            <w:r w:rsidRPr="00632E8A">
              <w:rPr>
                <w:rFonts w:ascii="Arial" w:eastAsia="Times New Roman" w:hAnsi="Arial" w:cs="Arial"/>
                <w:color w:val="000000"/>
                <w:sz w:val="16"/>
                <w:szCs w:val="16"/>
                <w:lang w:eastAsia="es-CO"/>
              </w:rPr>
              <w:t xml:space="preserve">Profesional en diseño visual para </w:t>
            </w:r>
            <w:r>
              <w:rPr>
                <w:rFonts w:ascii="Arial" w:eastAsia="Times New Roman" w:hAnsi="Arial" w:cs="Arial"/>
                <w:color w:val="000000"/>
                <w:sz w:val="16"/>
                <w:szCs w:val="16"/>
                <w:lang w:eastAsia="es-CO"/>
              </w:rPr>
              <w:t>MIC</w:t>
            </w:r>
          </w:p>
        </w:tc>
        <w:tc>
          <w:tcPr>
            <w:tcW w:w="1276" w:type="dxa"/>
            <w:tcBorders>
              <w:top w:val="nil"/>
              <w:left w:val="nil"/>
              <w:bottom w:val="single" w:sz="4" w:space="0" w:color="auto"/>
              <w:right w:val="single" w:sz="4" w:space="0" w:color="auto"/>
            </w:tcBorders>
            <w:shd w:val="clear" w:color="auto" w:fill="auto"/>
            <w:noWrap/>
            <w:vAlign w:val="bottom"/>
            <w:hideMark/>
          </w:tcPr>
          <w:p w:rsidR="00A62BC3" w:rsidRPr="00632E8A" w:rsidRDefault="00A62BC3" w:rsidP="00A62B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14.676.410,00 </w:t>
            </w:r>
          </w:p>
        </w:tc>
        <w:tc>
          <w:tcPr>
            <w:tcW w:w="4820" w:type="dxa"/>
            <w:tcBorders>
              <w:top w:val="nil"/>
              <w:left w:val="nil"/>
              <w:bottom w:val="single" w:sz="4" w:space="0" w:color="auto"/>
              <w:right w:val="single" w:sz="4" w:space="0" w:color="auto"/>
            </w:tcBorders>
            <w:shd w:val="clear" w:color="auto" w:fill="auto"/>
          </w:tcPr>
          <w:p w:rsidR="00A62BC3" w:rsidRPr="00A62BC3" w:rsidRDefault="00A62BC3" w:rsidP="00A62BC3">
            <w:pPr>
              <w:spacing w:after="0" w:line="240" w:lineRule="auto"/>
              <w:jc w:val="both"/>
              <w:rPr>
                <w:rFonts w:ascii="Tahoma" w:eastAsia="Times New Roman" w:hAnsi="Tahoma" w:cs="Tahoma"/>
                <w:sz w:val="16"/>
                <w:szCs w:val="16"/>
                <w:lang w:eastAsia="es-CO"/>
              </w:rPr>
            </w:pPr>
            <w:r w:rsidRPr="00A62BC3">
              <w:rPr>
                <w:rFonts w:ascii="Tahoma" w:eastAsia="Times New Roman" w:hAnsi="Tahoma" w:cs="Tahoma"/>
                <w:sz w:val="16"/>
                <w:szCs w:val="16"/>
                <w:lang w:eastAsia="es-CO"/>
              </w:rPr>
              <w:t xml:space="preserve">La necesidad de un profesional en diseño visual, se planeó para apoyar las necesidades de coordinar y ejecutar  el desarrollo del plan de mercadeo de la entidad, por un término de 5 meses para el año 2020, esta contratación esta aplazada por motivos de programación presupuestal </w:t>
            </w:r>
            <w:r w:rsidRPr="00A62BC3">
              <w:rPr>
                <w:rFonts w:ascii="Tahoma" w:eastAsia="Times New Roman" w:hAnsi="Tahoma" w:cs="Tahoma"/>
                <w:b/>
                <w:i/>
                <w:sz w:val="16"/>
                <w:szCs w:val="16"/>
                <w:lang w:eastAsia="es-CO"/>
              </w:rPr>
              <w:t>Anexo No. 13.</w:t>
            </w:r>
          </w:p>
        </w:tc>
      </w:tr>
      <w:tr w:rsidR="00A62BC3" w:rsidRPr="00632E8A" w:rsidTr="00275331">
        <w:trPr>
          <w:trHeight w:val="225"/>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A62BC3" w:rsidRPr="00632E8A" w:rsidRDefault="00A62BC3" w:rsidP="00A62BC3">
            <w:pPr>
              <w:spacing w:after="0" w:line="240" w:lineRule="auto"/>
              <w:rPr>
                <w:rFonts w:ascii="Arial" w:eastAsia="Times New Roman" w:hAnsi="Arial" w:cs="Arial"/>
                <w:color w:val="000000"/>
                <w:sz w:val="16"/>
                <w:szCs w:val="16"/>
                <w:lang w:eastAsia="es-CO"/>
              </w:rPr>
            </w:pPr>
            <w:r w:rsidRPr="00632E8A">
              <w:rPr>
                <w:rFonts w:ascii="Arial" w:eastAsia="Times New Roman" w:hAnsi="Arial" w:cs="Arial"/>
                <w:color w:val="000000"/>
                <w:sz w:val="16"/>
                <w:szCs w:val="16"/>
                <w:lang w:eastAsia="es-CO"/>
              </w:rPr>
              <w:t>Tecnólogo</w:t>
            </w:r>
            <w:r>
              <w:rPr>
                <w:rFonts w:ascii="Arial" w:eastAsia="Times New Roman" w:hAnsi="Arial" w:cs="Arial"/>
                <w:color w:val="000000"/>
                <w:sz w:val="16"/>
                <w:szCs w:val="16"/>
                <w:lang w:eastAsia="es-CO"/>
              </w:rPr>
              <w:t xml:space="preserve"> en H</w:t>
            </w:r>
            <w:r w:rsidRPr="00632E8A">
              <w:rPr>
                <w:rFonts w:ascii="Arial" w:eastAsia="Times New Roman" w:hAnsi="Arial" w:cs="Arial"/>
                <w:color w:val="000000"/>
                <w:sz w:val="16"/>
                <w:szCs w:val="16"/>
                <w:lang w:eastAsia="es-CO"/>
              </w:rPr>
              <w:t>ecaa</w:t>
            </w:r>
          </w:p>
        </w:tc>
        <w:tc>
          <w:tcPr>
            <w:tcW w:w="1276" w:type="dxa"/>
            <w:tcBorders>
              <w:top w:val="nil"/>
              <w:left w:val="nil"/>
              <w:bottom w:val="single" w:sz="4" w:space="0" w:color="auto"/>
              <w:right w:val="single" w:sz="4" w:space="0" w:color="auto"/>
            </w:tcBorders>
            <w:shd w:val="clear" w:color="auto" w:fill="auto"/>
            <w:noWrap/>
            <w:vAlign w:val="bottom"/>
            <w:hideMark/>
          </w:tcPr>
          <w:p w:rsidR="00A62BC3" w:rsidRPr="00632E8A" w:rsidRDefault="00A62BC3" w:rsidP="00A62B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19.081.072,00 </w:t>
            </w:r>
          </w:p>
        </w:tc>
        <w:tc>
          <w:tcPr>
            <w:tcW w:w="4820" w:type="dxa"/>
            <w:tcBorders>
              <w:top w:val="nil"/>
              <w:left w:val="nil"/>
              <w:bottom w:val="single" w:sz="4" w:space="0" w:color="auto"/>
              <w:right w:val="single" w:sz="4" w:space="0" w:color="auto"/>
            </w:tcBorders>
            <w:shd w:val="clear" w:color="auto" w:fill="auto"/>
          </w:tcPr>
          <w:p w:rsidR="00A62BC3" w:rsidRPr="00A62BC3" w:rsidRDefault="00A62BC3" w:rsidP="00A62BC3">
            <w:pPr>
              <w:spacing w:after="0" w:line="240" w:lineRule="auto"/>
              <w:jc w:val="both"/>
              <w:rPr>
                <w:rFonts w:ascii="Tahoma" w:eastAsia="Times New Roman" w:hAnsi="Tahoma" w:cs="Tahoma"/>
                <w:sz w:val="16"/>
                <w:szCs w:val="16"/>
                <w:lang w:eastAsia="es-CO"/>
              </w:rPr>
            </w:pPr>
            <w:r w:rsidRPr="00A62BC3">
              <w:rPr>
                <w:rFonts w:ascii="Tahoma" w:eastAsia="Times New Roman" w:hAnsi="Tahoma" w:cs="Tahoma"/>
                <w:sz w:val="16"/>
                <w:szCs w:val="16"/>
                <w:lang w:eastAsia="es-CO"/>
              </w:rPr>
              <w:t>La necesidad de un técnico en plataforma HECAA, se dio por la necesidad de ajustar y corregir datos registrados en los sistemas de información del MEN, como el SNIES, SPADIES desde el año 2018 hasta el año 1997, este proceso se ha venido adelantando desde el año 2019 sin embargo a la fecha se tiene la información ajustada hasta el año 2008 lo que hace necesario continuar con el ajuste de los 10 años faltantes.  Se planeó inicialmente por un término 10.5 meses para el año 2020, por motivos presupuestales se debió sus</w:t>
            </w:r>
            <w:r w:rsidR="00BD2403">
              <w:rPr>
                <w:rFonts w:ascii="Tahoma" w:eastAsia="Times New Roman" w:hAnsi="Tahoma" w:cs="Tahoma"/>
                <w:sz w:val="16"/>
                <w:szCs w:val="16"/>
                <w:lang w:eastAsia="es-CO"/>
              </w:rPr>
              <w:t>cribir un contrato inicial por 5</w:t>
            </w:r>
            <w:r w:rsidRPr="00A62BC3">
              <w:rPr>
                <w:rFonts w:ascii="Tahoma" w:eastAsia="Times New Roman" w:hAnsi="Tahoma" w:cs="Tahoma"/>
                <w:sz w:val="16"/>
                <w:szCs w:val="16"/>
                <w:lang w:eastAsia="es-CO"/>
              </w:rPr>
              <w:t xml:space="preserve"> meses, q</w:t>
            </w:r>
            <w:r w:rsidR="00BD2403">
              <w:rPr>
                <w:rFonts w:ascii="Tahoma" w:eastAsia="Times New Roman" w:hAnsi="Tahoma" w:cs="Tahoma"/>
                <w:sz w:val="16"/>
                <w:szCs w:val="16"/>
                <w:lang w:eastAsia="es-CO"/>
              </w:rPr>
              <w:t>uedando pendiente de contratar 5</w:t>
            </w:r>
            <w:r w:rsidRPr="00A62BC3">
              <w:rPr>
                <w:rFonts w:ascii="Tahoma" w:eastAsia="Times New Roman" w:hAnsi="Tahoma" w:cs="Tahoma"/>
                <w:sz w:val="16"/>
                <w:szCs w:val="16"/>
                <w:lang w:eastAsia="es-CO"/>
              </w:rPr>
              <w:t xml:space="preserve">.5 meses los cuales son solicitados en esta adicción. </w:t>
            </w:r>
            <w:r w:rsidRPr="00A62BC3">
              <w:rPr>
                <w:rFonts w:ascii="Tahoma" w:eastAsia="Times New Roman" w:hAnsi="Tahoma" w:cs="Tahoma"/>
                <w:b/>
                <w:i/>
                <w:sz w:val="16"/>
                <w:szCs w:val="16"/>
                <w:lang w:eastAsia="es-CO"/>
              </w:rPr>
              <w:t>Anexo No. 14.</w:t>
            </w:r>
          </w:p>
        </w:tc>
      </w:tr>
      <w:tr w:rsidR="00364006" w:rsidRPr="00632E8A" w:rsidTr="00275331">
        <w:trPr>
          <w:trHeight w:val="225"/>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364006" w:rsidRPr="00632E8A" w:rsidRDefault="00364006" w:rsidP="00364006">
            <w:pPr>
              <w:spacing w:after="0" w:line="240" w:lineRule="auto"/>
              <w:rPr>
                <w:rFonts w:ascii="Arial" w:eastAsia="Times New Roman" w:hAnsi="Arial" w:cs="Arial"/>
                <w:color w:val="000000"/>
                <w:sz w:val="16"/>
                <w:szCs w:val="16"/>
                <w:lang w:eastAsia="es-CO"/>
              </w:rPr>
            </w:pPr>
            <w:r w:rsidRPr="00632E8A">
              <w:rPr>
                <w:rFonts w:ascii="Arial" w:eastAsia="Times New Roman" w:hAnsi="Arial" w:cs="Arial"/>
                <w:color w:val="000000"/>
                <w:sz w:val="16"/>
                <w:szCs w:val="16"/>
                <w:lang w:eastAsia="es-CO"/>
              </w:rPr>
              <w:t>Tecnólogo en archivo</w:t>
            </w:r>
          </w:p>
        </w:tc>
        <w:tc>
          <w:tcPr>
            <w:tcW w:w="1276" w:type="dxa"/>
            <w:tcBorders>
              <w:top w:val="nil"/>
              <w:left w:val="nil"/>
              <w:bottom w:val="single" w:sz="4" w:space="0" w:color="auto"/>
              <w:right w:val="single" w:sz="4" w:space="0" w:color="auto"/>
            </w:tcBorders>
            <w:shd w:val="clear" w:color="auto" w:fill="auto"/>
            <w:noWrap/>
            <w:vAlign w:val="bottom"/>
            <w:hideMark/>
          </w:tcPr>
          <w:p w:rsidR="00364006" w:rsidRPr="00632E8A" w:rsidRDefault="00364006" w:rsidP="00364006">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7.632.429,00 </w:t>
            </w:r>
          </w:p>
        </w:tc>
        <w:tc>
          <w:tcPr>
            <w:tcW w:w="4820" w:type="dxa"/>
            <w:tcBorders>
              <w:top w:val="nil"/>
              <w:left w:val="nil"/>
              <w:bottom w:val="single" w:sz="4" w:space="0" w:color="auto"/>
              <w:right w:val="single" w:sz="4" w:space="0" w:color="auto"/>
            </w:tcBorders>
            <w:shd w:val="clear" w:color="auto" w:fill="auto"/>
          </w:tcPr>
          <w:p w:rsidR="00364006" w:rsidRPr="00632E8A" w:rsidRDefault="00364006" w:rsidP="00C84CC8">
            <w:pPr>
              <w:spacing w:after="0" w:line="240" w:lineRule="auto"/>
              <w:jc w:val="both"/>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 xml:space="preserve">La necesidad de un tecnólogo en archivo, se da por la necesidad de contar con una persona con la formación necesaria para </w:t>
            </w:r>
            <w:r w:rsidR="00421A66">
              <w:rPr>
                <w:rFonts w:ascii="Tahoma" w:eastAsia="Times New Roman" w:hAnsi="Tahoma" w:cs="Tahoma"/>
                <w:color w:val="000000"/>
                <w:sz w:val="16"/>
                <w:szCs w:val="16"/>
                <w:lang w:eastAsia="es-CO"/>
              </w:rPr>
              <w:t>gestionar</w:t>
            </w:r>
            <w:r>
              <w:rPr>
                <w:rFonts w:ascii="Tahoma" w:eastAsia="Times New Roman" w:hAnsi="Tahoma" w:cs="Tahoma"/>
                <w:color w:val="000000"/>
                <w:sz w:val="16"/>
                <w:szCs w:val="16"/>
                <w:lang w:eastAsia="es-CO"/>
              </w:rPr>
              <w:t xml:space="preserve"> </w:t>
            </w:r>
            <w:r w:rsidR="00421A66">
              <w:rPr>
                <w:rFonts w:ascii="Tahoma" w:eastAsia="Times New Roman" w:hAnsi="Tahoma" w:cs="Tahoma"/>
                <w:color w:val="000000"/>
                <w:sz w:val="16"/>
                <w:szCs w:val="16"/>
                <w:lang w:eastAsia="es-CO"/>
              </w:rPr>
              <w:t>el desarrollo d</w:t>
            </w:r>
            <w:r>
              <w:rPr>
                <w:rFonts w:ascii="Tahoma" w:eastAsia="Times New Roman" w:hAnsi="Tahoma" w:cs="Tahoma"/>
                <w:color w:val="000000"/>
                <w:sz w:val="16"/>
                <w:szCs w:val="16"/>
                <w:lang w:eastAsia="es-CO"/>
              </w:rPr>
              <w:t xml:space="preserve">el plan y el programa de archivo Institucional, así como, lo correspondiente la actualizaciones de tablas de valoración documental, tablas de retención documental y trasferencia de archivo de gestión al archivo centra e histórico de la IES CINOC; este contrato se planeó inicialmente por un término 6 meses para el año 2020, </w:t>
            </w:r>
            <w:r w:rsidR="00EC7FAA">
              <w:rPr>
                <w:rFonts w:ascii="Tahoma" w:eastAsia="Times New Roman" w:hAnsi="Tahoma" w:cs="Tahoma"/>
                <w:color w:val="000000"/>
                <w:sz w:val="16"/>
                <w:szCs w:val="16"/>
                <w:lang w:eastAsia="es-CO"/>
              </w:rPr>
              <w:t>se cuenta con una disponibilidad inicial para contratar a este profesional por 3 meses</w:t>
            </w:r>
            <w:r>
              <w:rPr>
                <w:rFonts w:ascii="Tahoma" w:eastAsia="Times New Roman" w:hAnsi="Tahoma" w:cs="Tahoma"/>
                <w:color w:val="000000"/>
                <w:sz w:val="16"/>
                <w:szCs w:val="16"/>
                <w:lang w:eastAsia="es-CO"/>
              </w:rPr>
              <w:t xml:space="preserve">, quedando pendiente </w:t>
            </w:r>
            <w:r w:rsidR="00EC7FAA">
              <w:rPr>
                <w:rFonts w:ascii="Tahoma" w:eastAsia="Times New Roman" w:hAnsi="Tahoma" w:cs="Tahoma"/>
                <w:color w:val="000000"/>
                <w:sz w:val="16"/>
                <w:szCs w:val="16"/>
                <w:lang w:eastAsia="es-CO"/>
              </w:rPr>
              <w:t xml:space="preserve">de una adición presupuestal para los </w:t>
            </w:r>
            <w:r>
              <w:rPr>
                <w:rFonts w:ascii="Tahoma" w:eastAsia="Times New Roman" w:hAnsi="Tahoma" w:cs="Tahoma"/>
                <w:color w:val="000000"/>
                <w:sz w:val="16"/>
                <w:szCs w:val="16"/>
                <w:lang w:eastAsia="es-CO"/>
              </w:rPr>
              <w:t>3 meses</w:t>
            </w:r>
            <w:r w:rsidR="00EC7FAA">
              <w:rPr>
                <w:rFonts w:ascii="Tahoma" w:eastAsia="Times New Roman" w:hAnsi="Tahoma" w:cs="Tahoma"/>
                <w:color w:val="000000"/>
                <w:sz w:val="16"/>
                <w:szCs w:val="16"/>
                <w:lang w:eastAsia="es-CO"/>
              </w:rPr>
              <w:t>,</w:t>
            </w:r>
            <w:r>
              <w:rPr>
                <w:rFonts w:ascii="Tahoma" w:eastAsia="Times New Roman" w:hAnsi="Tahoma" w:cs="Tahoma"/>
                <w:color w:val="000000"/>
                <w:sz w:val="16"/>
                <w:szCs w:val="16"/>
                <w:lang w:eastAsia="es-CO"/>
              </w:rPr>
              <w:t xml:space="preserve"> los cuales son solicitados en esta adicción. </w:t>
            </w:r>
            <w:r w:rsidR="00910CBC" w:rsidRPr="00A11737">
              <w:rPr>
                <w:rFonts w:ascii="Tahoma" w:eastAsia="Times New Roman" w:hAnsi="Tahoma" w:cs="Tahoma"/>
                <w:b/>
                <w:i/>
                <w:color w:val="000000"/>
                <w:sz w:val="16"/>
                <w:szCs w:val="16"/>
                <w:lang w:eastAsia="es-CO"/>
              </w:rPr>
              <w:t>Anexo</w:t>
            </w:r>
            <w:r w:rsidR="00910CBC">
              <w:rPr>
                <w:rFonts w:ascii="Tahoma" w:eastAsia="Times New Roman" w:hAnsi="Tahoma" w:cs="Tahoma"/>
                <w:b/>
                <w:i/>
                <w:color w:val="000000"/>
                <w:sz w:val="16"/>
                <w:szCs w:val="16"/>
                <w:lang w:eastAsia="es-CO"/>
              </w:rPr>
              <w:t xml:space="preserve"> No. 15.</w:t>
            </w:r>
          </w:p>
        </w:tc>
      </w:tr>
      <w:tr w:rsidR="007A5B36" w:rsidRPr="00632E8A" w:rsidTr="00275331">
        <w:trPr>
          <w:trHeight w:val="210"/>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7A5B36" w:rsidRPr="00632E8A" w:rsidRDefault="007A5B36" w:rsidP="007A5B36">
            <w:pPr>
              <w:spacing w:after="0" w:line="240" w:lineRule="auto"/>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Docentes ocasionales </w:t>
            </w:r>
          </w:p>
        </w:tc>
        <w:tc>
          <w:tcPr>
            <w:tcW w:w="1276" w:type="dxa"/>
            <w:tcBorders>
              <w:top w:val="nil"/>
              <w:left w:val="nil"/>
              <w:bottom w:val="single" w:sz="4" w:space="0" w:color="auto"/>
              <w:right w:val="single" w:sz="4" w:space="0" w:color="auto"/>
            </w:tcBorders>
            <w:shd w:val="clear" w:color="auto" w:fill="auto"/>
            <w:noWrap/>
            <w:vAlign w:val="bottom"/>
            <w:hideMark/>
          </w:tcPr>
          <w:p w:rsidR="007A5B36" w:rsidRPr="00632E8A" w:rsidRDefault="007A5B36" w:rsidP="00CF11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67.200.084,00 </w:t>
            </w:r>
          </w:p>
        </w:tc>
        <w:tc>
          <w:tcPr>
            <w:tcW w:w="4820" w:type="dxa"/>
            <w:tcBorders>
              <w:top w:val="nil"/>
              <w:left w:val="nil"/>
              <w:bottom w:val="single" w:sz="4" w:space="0" w:color="auto"/>
              <w:right w:val="single" w:sz="4" w:space="0" w:color="auto"/>
            </w:tcBorders>
            <w:shd w:val="clear" w:color="auto" w:fill="auto"/>
          </w:tcPr>
          <w:p w:rsidR="007A5B36" w:rsidRPr="00632E8A" w:rsidRDefault="00785A48" w:rsidP="00C1769A">
            <w:pPr>
              <w:spacing w:after="0" w:line="240" w:lineRule="auto"/>
              <w:jc w:val="both"/>
              <w:rPr>
                <w:rFonts w:ascii="Tahoma" w:eastAsia="Times New Roman" w:hAnsi="Tahoma" w:cs="Tahoma"/>
                <w:color w:val="000000"/>
                <w:sz w:val="16"/>
                <w:szCs w:val="16"/>
                <w:lang w:eastAsia="es-CO"/>
              </w:rPr>
            </w:pPr>
            <w:r w:rsidRPr="00785A48">
              <w:rPr>
                <w:rFonts w:ascii="Tahoma" w:eastAsia="Times New Roman" w:hAnsi="Tahoma" w:cs="Tahoma"/>
                <w:color w:val="000000"/>
                <w:sz w:val="16"/>
                <w:szCs w:val="16"/>
                <w:lang w:eastAsia="es-CO"/>
              </w:rPr>
              <w:t>La nueva realidad dada por el aumento en el número de estudiantes y de cursos, y la apertura de nuevas líneas como son la ruralidad y regionalización, las cuales surgieron a partir de los planes de fomento a la calidad – PFC-,  nos llevan a reconfigurar la proyección de horas cátedras necesarias, las cuales pasaron de un cálculo inicial de 29.952, que fue la base realizada en julio de 2019 para el presupuesto de 2020, a una estimación actual de 34.752 horas cátedra, que serán cubiertas por docentes de carr</w:t>
            </w:r>
            <w:r>
              <w:rPr>
                <w:rFonts w:ascii="Tahoma" w:eastAsia="Times New Roman" w:hAnsi="Tahoma" w:cs="Tahoma"/>
                <w:color w:val="000000"/>
                <w:sz w:val="16"/>
                <w:szCs w:val="16"/>
                <w:lang w:eastAsia="es-CO"/>
              </w:rPr>
              <w:t>era, ocasionales y catedráticos.</w:t>
            </w:r>
            <w:r w:rsidR="00A11737">
              <w:rPr>
                <w:rFonts w:ascii="Tahoma" w:eastAsia="Times New Roman" w:hAnsi="Tahoma" w:cs="Tahoma"/>
                <w:color w:val="000000"/>
                <w:sz w:val="16"/>
                <w:szCs w:val="16"/>
                <w:lang w:eastAsia="es-CO"/>
              </w:rPr>
              <w:t xml:space="preserve"> </w:t>
            </w:r>
            <w:r w:rsidR="00910CBC" w:rsidRPr="00A11737">
              <w:rPr>
                <w:rFonts w:ascii="Tahoma" w:eastAsia="Times New Roman" w:hAnsi="Tahoma" w:cs="Tahoma"/>
                <w:b/>
                <w:i/>
                <w:color w:val="000000"/>
                <w:sz w:val="16"/>
                <w:szCs w:val="16"/>
                <w:lang w:eastAsia="es-CO"/>
              </w:rPr>
              <w:t>Anexo</w:t>
            </w:r>
            <w:r w:rsidR="00910CBC">
              <w:rPr>
                <w:rFonts w:ascii="Tahoma" w:eastAsia="Times New Roman" w:hAnsi="Tahoma" w:cs="Tahoma"/>
                <w:b/>
                <w:i/>
                <w:color w:val="000000"/>
                <w:sz w:val="16"/>
                <w:szCs w:val="16"/>
                <w:lang w:eastAsia="es-CO"/>
              </w:rPr>
              <w:t xml:space="preserve"> No. </w:t>
            </w:r>
            <w:r w:rsidR="00C1769A">
              <w:rPr>
                <w:rFonts w:ascii="Tahoma" w:eastAsia="Times New Roman" w:hAnsi="Tahoma" w:cs="Tahoma"/>
                <w:b/>
                <w:i/>
                <w:color w:val="000000"/>
                <w:sz w:val="16"/>
                <w:szCs w:val="16"/>
                <w:lang w:eastAsia="es-CO"/>
              </w:rPr>
              <w:t>4</w:t>
            </w:r>
            <w:r w:rsidR="00910CBC">
              <w:rPr>
                <w:rFonts w:ascii="Tahoma" w:eastAsia="Times New Roman" w:hAnsi="Tahoma" w:cs="Tahoma"/>
                <w:b/>
                <w:i/>
                <w:color w:val="000000"/>
                <w:sz w:val="16"/>
                <w:szCs w:val="16"/>
                <w:lang w:eastAsia="es-CO"/>
              </w:rPr>
              <w:t>.</w:t>
            </w:r>
          </w:p>
        </w:tc>
      </w:tr>
      <w:tr w:rsidR="00A62BC3" w:rsidRPr="00632E8A" w:rsidTr="00275331">
        <w:trPr>
          <w:trHeight w:val="210"/>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A62BC3" w:rsidRPr="00632E8A" w:rsidRDefault="00A62BC3" w:rsidP="00A62BC3">
            <w:pPr>
              <w:spacing w:after="0" w:line="240" w:lineRule="auto"/>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Transporte practicas académicas</w:t>
            </w:r>
          </w:p>
        </w:tc>
        <w:tc>
          <w:tcPr>
            <w:tcW w:w="1276" w:type="dxa"/>
            <w:tcBorders>
              <w:top w:val="nil"/>
              <w:left w:val="nil"/>
              <w:bottom w:val="single" w:sz="4" w:space="0" w:color="auto"/>
              <w:right w:val="single" w:sz="4" w:space="0" w:color="auto"/>
            </w:tcBorders>
            <w:shd w:val="clear" w:color="auto" w:fill="auto"/>
            <w:noWrap/>
            <w:vAlign w:val="bottom"/>
            <w:hideMark/>
          </w:tcPr>
          <w:p w:rsidR="00A62BC3" w:rsidRPr="00632E8A" w:rsidRDefault="00A62BC3" w:rsidP="00A62B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25.000.000,00 </w:t>
            </w:r>
          </w:p>
        </w:tc>
        <w:tc>
          <w:tcPr>
            <w:tcW w:w="4820" w:type="dxa"/>
            <w:tcBorders>
              <w:top w:val="nil"/>
              <w:left w:val="nil"/>
              <w:bottom w:val="single" w:sz="4" w:space="0" w:color="auto"/>
              <w:right w:val="single" w:sz="4" w:space="0" w:color="auto"/>
            </w:tcBorders>
            <w:shd w:val="clear" w:color="auto" w:fill="auto"/>
          </w:tcPr>
          <w:p w:rsidR="00A62BC3" w:rsidRPr="00A62BC3" w:rsidRDefault="00A62BC3" w:rsidP="00A62BC3">
            <w:pPr>
              <w:spacing w:after="0" w:line="240" w:lineRule="auto"/>
              <w:jc w:val="both"/>
              <w:rPr>
                <w:rFonts w:ascii="Tahoma" w:eastAsia="Times New Roman" w:hAnsi="Tahoma" w:cs="Tahoma"/>
                <w:sz w:val="16"/>
                <w:szCs w:val="16"/>
                <w:lang w:eastAsia="es-CO"/>
              </w:rPr>
            </w:pPr>
            <w:r w:rsidRPr="00A62BC3">
              <w:rPr>
                <w:rFonts w:ascii="Tahoma" w:eastAsia="Times New Roman" w:hAnsi="Tahoma" w:cs="Tahoma"/>
                <w:sz w:val="16"/>
                <w:szCs w:val="16"/>
                <w:lang w:eastAsia="es-CO"/>
              </w:rPr>
              <w:t xml:space="preserve">El incremento en grupos de los diferentes programas demanda un mayor número de prácticas académicas, las cuales son requeridas para el desarrollo de las competencias contempladas en los perfiles </w:t>
            </w:r>
            <w:r w:rsidRPr="00A62BC3">
              <w:rPr>
                <w:rFonts w:ascii="Tahoma" w:eastAsia="Times New Roman" w:hAnsi="Tahoma" w:cs="Tahoma"/>
                <w:sz w:val="16"/>
                <w:szCs w:val="16"/>
                <w:lang w:eastAsia="es-CO"/>
              </w:rPr>
              <w:lastRenderedPageBreak/>
              <w:t>ocupacionales del nivel técnico y tecnológico.   Inicialmente se planeó un valor para la realización de prácticas académicas de $25.000.000, valor que quedo liquidado inicialmente en el presupuesto de ingresos y gastos para la vigencia 2020. Vicerrectoría académica una vez realizado el plan de prácticas para el año 2020, con su equipo docente, determino que este plan tenía un costo de $50.000.000 millones motivo por el cual se está solicitando esta adición de $25.000.000 para dar alcance a la necesidad planeado por vicerrectoría académica, correspondiente al plan de prácticas académicas año 2020.</w:t>
            </w:r>
          </w:p>
        </w:tc>
      </w:tr>
      <w:tr w:rsidR="007A5B36" w:rsidRPr="00632E8A" w:rsidTr="00275331">
        <w:trPr>
          <w:trHeight w:val="210"/>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7A5B36" w:rsidRPr="00632E8A" w:rsidRDefault="007A5B36" w:rsidP="007A5B36">
            <w:pPr>
              <w:spacing w:after="0" w:line="240" w:lineRule="auto"/>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lastRenderedPageBreak/>
              <w:t>Catedra</w:t>
            </w:r>
          </w:p>
        </w:tc>
        <w:tc>
          <w:tcPr>
            <w:tcW w:w="1276" w:type="dxa"/>
            <w:tcBorders>
              <w:top w:val="nil"/>
              <w:left w:val="nil"/>
              <w:bottom w:val="single" w:sz="4" w:space="0" w:color="auto"/>
              <w:right w:val="single" w:sz="4" w:space="0" w:color="auto"/>
            </w:tcBorders>
            <w:shd w:val="clear" w:color="auto" w:fill="auto"/>
            <w:noWrap/>
            <w:vAlign w:val="bottom"/>
            <w:hideMark/>
          </w:tcPr>
          <w:p w:rsidR="007A5B36" w:rsidRPr="00632E8A" w:rsidRDefault="007A5B36" w:rsidP="00CF11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65.853.421,00 </w:t>
            </w:r>
          </w:p>
        </w:tc>
        <w:tc>
          <w:tcPr>
            <w:tcW w:w="4820" w:type="dxa"/>
            <w:tcBorders>
              <w:top w:val="nil"/>
              <w:left w:val="nil"/>
              <w:bottom w:val="single" w:sz="4" w:space="0" w:color="auto"/>
              <w:right w:val="single" w:sz="4" w:space="0" w:color="auto"/>
            </w:tcBorders>
            <w:shd w:val="clear" w:color="auto" w:fill="auto"/>
          </w:tcPr>
          <w:p w:rsidR="007A5B36" w:rsidRPr="00632E8A" w:rsidRDefault="00785A48" w:rsidP="00C1769A">
            <w:pPr>
              <w:spacing w:after="0" w:line="240" w:lineRule="auto"/>
              <w:jc w:val="both"/>
              <w:rPr>
                <w:rFonts w:ascii="Tahoma" w:eastAsia="Times New Roman" w:hAnsi="Tahoma" w:cs="Tahoma"/>
                <w:color w:val="000000"/>
                <w:sz w:val="16"/>
                <w:szCs w:val="16"/>
                <w:lang w:eastAsia="es-CO"/>
              </w:rPr>
            </w:pPr>
            <w:r w:rsidRPr="00785A48">
              <w:rPr>
                <w:rFonts w:ascii="Tahoma" w:eastAsia="Times New Roman" w:hAnsi="Tahoma" w:cs="Tahoma"/>
                <w:color w:val="000000"/>
                <w:sz w:val="16"/>
                <w:szCs w:val="16"/>
                <w:lang w:eastAsia="es-CO"/>
              </w:rPr>
              <w:t>La nueva realidad dada por el aumento en el número de estudiantes y de cursos, y la apertura de nuevas líneas como son la ruralidad y regionalización, las cuales surgieron a partir de los planes de fomento a la calidad – PFC-,  nos llevan a reconfigurar la proyección de horas cátedras necesarias, las cuales pasaron de un cálculo inicial de 29.952, que fue la base realizada en julio de 2019 para el presupuesto de 2020, a una estimación actual de 34.752 horas cátedra, que serán cubiertas por docentes de carr</w:t>
            </w:r>
            <w:r>
              <w:rPr>
                <w:rFonts w:ascii="Tahoma" w:eastAsia="Times New Roman" w:hAnsi="Tahoma" w:cs="Tahoma"/>
                <w:color w:val="000000"/>
                <w:sz w:val="16"/>
                <w:szCs w:val="16"/>
                <w:lang w:eastAsia="es-CO"/>
              </w:rPr>
              <w:t>era, ocasionales y catedráticos.</w:t>
            </w:r>
            <w:r w:rsidR="00A11737">
              <w:rPr>
                <w:rFonts w:ascii="Tahoma" w:eastAsia="Times New Roman" w:hAnsi="Tahoma" w:cs="Tahoma"/>
                <w:color w:val="000000"/>
                <w:sz w:val="16"/>
                <w:szCs w:val="16"/>
                <w:lang w:eastAsia="es-CO"/>
              </w:rPr>
              <w:t xml:space="preserve"> </w:t>
            </w:r>
            <w:r w:rsidR="00910CBC" w:rsidRPr="00A11737">
              <w:rPr>
                <w:rFonts w:ascii="Tahoma" w:eastAsia="Times New Roman" w:hAnsi="Tahoma" w:cs="Tahoma"/>
                <w:b/>
                <w:i/>
                <w:color w:val="000000"/>
                <w:sz w:val="16"/>
                <w:szCs w:val="16"/>
                <w:lang w:eastAsia="es-CO"/>
              </w:rPr>
              <w:t>Anexo</w:t>
            </w:r>
            <w:r w:rsidR="00910CBC">
              <w:rPr>
                <w:rFonts w:ascii="Tahoma" w:eastAsia="Times New Roman" w:hAnsi="Tahoma" w:cs="Tahoma"/>
                <w:b/>
                <w:i/>
                <w:color w:val="000000"/>
                <w:sz w:val="16"/>
                <w:szCs w:val="16"/>
                <w:lang w:eastAsia="es-CO"/>
              </w:rPr>
              <w:t xml:space="preserve"> No. </w:t>
            </w:r>
            <w:r w:rsidR="00C1769A">
              <w:rPr>
                <w:rFonts w:ascii="Tahoma" w:eastAsia="Times New Roman" w:hAnsi="Tahoma" w:cs="Tahoma"/>
                <w:b/>
                <w:i/>
                <w:color w:val="000000"/>
                <w:sz w:val="16"/>
                <w:szCs w:val="16"/>
                <w:lang w:eastAsia="es-CO"/>
              </w:rPr>
              <w:t>4</w:t>
            </w:r>
            <w:r w:rsidR="00A11737" w:rsidRPr="00A11737">
              <w:rPr>
                <w:rFonts w:ascii="Tahoma" w:eastAsia="Times New Roman" w:hAnsi="Tahoma" w:cs="Tahoma"/>
                <w:b/>
                <w:i/>
                <w:color w:val="000000"/>
                <w:sz w:val="16"/>
                <w:szCs w:val="16"/>
                <w:lang w:eastAsia="es-CO"/>
              </w:rPr>
              <w:t xml:space="preserve"> </w:t>
            </w:r>
          </w:p>
        </w:tc>
      </w:tr>
      <w:tr w:rsidR="007A5B36" w:rsidRPr="00632E8A" w:rsidTr="00275331">
        <w:trPr>
          <w:trHeight w:val="210"/>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7A5B36" w:rsidRPr="00632E8A" w:rsidRDefault="007A5B36" w:rsidP="007A5B36">
            <w:pPr>
              <w:spacing w:after="0" w:line="240" w:lineRule="auto"/>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7A5B36" w:rsidRPr="00632E8A" w:rsidRDefault="007A5B36" w:rsidP="00CF11C3">
            <w:pPr>
              <w:spacing w:after="0" w:line="240" w:lineRule="auto"/>
              <w:jc w:val="right"/>
              <w:rPr>
                <w:rFonts w:ascii="Tahoma" w:eastAsia="Times New Roman" w:hAnsi="Tahoma" w:cs="Tahoma"/>
                <w:color w:val="000000"/>
                <w:sz w:val="16"/>
                <w:szCs w:val="16"/>
                <w:lang w:eastAsia="es-CO"/>
              </w:rPr>
            </w:pPr>
            <w:r w:rsidRPr="00632E8A">
              <w:rPr>
                <w:rFonts w:ascii="Tahoma" w:eastAsia="Times New Roman" w:hAnsi="Tahoma" w:cs="Tahoma"/>
                <w:color w:val="000000"/>
                <w:sz w:val="16"/>
                <w:szCs w:val="16"/>
                <w:lang w:eastAsia="es-CO"/>
              </w:rPr>
              <w:t xml:space="preserve">  263.868.421,00 </w:t>
            </w:r>
          </w:p>
        </w:tc>
        <w:tc>
          <w:tcPr>
            <w:tcW w:w="4820" w:type="dxa"/>
            <w:tcBorders>
              <w:top w:val="nil"/>
              <w:left w:val="nil"/>
              <w:bottom w:val="single" w:sz="4" w:space="0" w:color="auto"/>
              <w:right w:val="single" w:sz="4" w:space="0" w:color="auto"/>
            </w:tcBorders>
          </w:tcPr>
          <w:p w:rsidR="007A5B36" w:rsidRPr="00632E8A" w:rsidRDefault="007A5B36" w:rsidP="007A5B36">
            <w:pPr>
              <w:spacing w:after="0" w:line="240" w:lineRule="auto"/>
              <w:rPr>
                <w:rFonts w:ascii="Tahoma" w:eastAsia="Times New Roman" w:hAnsi="Tahoma" w:cs="Tahoma"/>
                <w:color w:val="000000"/>
                <w:sz w:val="16"/>
                <w:szCs w:val="16"/>
                <w:lang w:eastAsia="es-CO"/>
              </w:rPr>
            </w:pPr>
          </w:p>
        </w:tc>
      </w:tr>
    </w:tbl>
    <w:p w:rsidR="00725BF7" w:rsidRDefault="00725BF7" w:rsidP="00725BF7">
      <w:pPr>
        <w:spacing w:line="240" w:lineRule="auto"/>
        <w:contextualSpacing/>
        <w:jc w:val="both"/>
        <w:rPr>
          <w:lang w:val="es-ES"/>
        </w:rPr>
      </w:pPr>
    </w:p>
    <w:p w:rsidR="00554000" w:rsidRPr="00A62BC3" w:rsidRDefault="00554000" w:rsidP="00A62BC3">
      <w:pPr>
        <w:pStyle w:val="Prrafodelista"/>
        <w:numPr>
          <w:ilvl w:val="1"/>
          <w:numId w:val="2"/>
        </w:numPr>
        <w:spacing w:line="240" w:lineRule="auto"/>
        <w:jc w:val="both"/>
        <w:rPr>
          <w:lang w:val="es-ES"/>
        </w:rPr>
      </w:pPr>
      <w:r w:rsidRPr="00A62BC3">
        <w:rPr>
          <w:lang w:val="es-ES"/>
        </w:rPr>
        <w:t>Adición recursos del balance</w:t>
      </w:r>
      <w:r w:rsidR="006F14B8" w:rsidRPr="00A62BC3">
        <w:rPr>
          <w:lang w:val="es-ES"/>
        </w:rPr>
        <w:t>, fuente de financiación</w:t>
      </w:r>
      <w:r w:rsidRPr="00A62BC3">
        <w:rPr>
          <w:lang w:val="es-ES"/>
        </w:rPr>
        <w:t xml:space="preserve"> Transferencias MEN </w:t>
      </w:r>
      <w:r w:rsidR="002C6A3E" w:rsidRPr="00A62BC3">
        <w:rPr>
          <w:lang w:val="es-ES"/>
        </w:rPr>
        <w:t>2017-2018 (excedentes 2018)</w:t>
      </w:r>
      <w:r w:rsidR="00FA4D75" w:rsidRPr="00A62BC3">
        <w:rPr>
          <w:lang w:val="es-ES"/>
        </w:rPr>
        <w:t>,</w:t>
      </w:r>
      <w:r w:rsidR="002C6A3E" w:rsidRPr="00A62BC3">
        <w:rPr>
          <w:lang w:val="es-ES"/>
        </w:rPr>
        <w:t xml:space="preserve"> </w:t>
      </w:r>
      <w:r w:rsidRPr="00A62BC3">
        <w:rPr>
          <w:lang w:val="es-ES"/>
        </w:rPr>
        <w:t xml:space="preserve">por un valor de </w:t>
      </w:r>
      <w:r w:rsidR="002C6A3E" w:rsidRPr="00A62BC3">
        <w:rPr>
          <w:lang w:val="es-ES"/>
        </w:rPr>
        <w:t xml:space="preserve">QUINIENTOS CUARENTA Y DOS MILLONES CUARENTA Y SIETE MIL CUATROCIENTOS SESENTA Y CUATRO </w:t>
      </w:r>
      <w:r w:rsidRPr="00A62BC3">
        <w:rPr>
          <w:lang w:val="es-ES"/>
        </w:rPr>
        <w:t>PESOS ($</w:t>
      </w:r>
      <w:r w:rsidR="002C6A3E" w:rsidRPr="00A62BC3">
        <w:rPr>
          <w:lang w:val="es-ES"/>
        </w:rPr>
        <w:t>542.047.464</w:t>
      </w:r>
      <w:r w:rsidRPr="00A62BC3">
        <w:rPr>
          <w:lang w:val="es-ES"/>
        </w:rPr>
        <w:t>).</w:t>
      </w:r>
    </w:p>
    <w:tbl>
      <w:tblPr>
        <w:tblW w:w="8293" w:type="dxa"/>
        <w:tblInd w:w="633" w:type="dxa"/>
        <w:tblCellMar>
          <w:left w:w="70" w:type="dxa"/>
          <w:right w:w="70" w:type="dxa"/>
        </w:tblCellMar>
        <w:tblLook w:val="04A0" w:firstRow="1" w:lastRow="0" w:firstColumn="1" w:lastColumn="0" w:noHBand="0" w:noVBand="1"/>
      </w:tblPr>
      <w:tblGrid>
        <w:gridCol w:w="2056"/>
        <w:gridCol w:w="1417"/>
        <w:gridCol w:w="4820"/>
      </w:tblGrid>
      <w:tr w:rsidR="00502FC0" w:rsidRPr="00502FC0" w:rsidTr="00090727">
        <w:trPr>
          <w:trHeight w:val="210"/>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FC0" w:rsidRPr="00117964" w:rsidRDefault="00502FC0" w:rsidP="00502FC0">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DETALLE</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02FC0" w:rsidRPr="00117964" w:rsidRDefault="00502FC0" w:rsidP="00502FC0">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VALOR</w:t>
            </w:r>
          </w:p>
        </w:tc>
        <w:tc>
          <w:tcPr>
            <w:tcW w:w="4820" w:type="dxa"/>
            <w:tcBorders>
              <w:top w:val="single" w:sz="4" w:space="0" w:color="auto"/>
              <w:left w:val="nil"/>
              <w:bottom w:val="single" w:sz="4" w:space="0" w:color="auto"/>
              <w:right w:val="single" w:sz="4" w:space="0" w:color="auto"/>
            </w:tcBorders>
          </w:tcPr>
          <w:p w:rsidR="00502FC0" w:rsidRPr="00117964" w:rsidRDefault="00502FC0" w:rsidP="00502FC0">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JUSTIFICACION</w:t>
            </w:r>
          </w:p>
        </w:tc>
      </w:tr>
      <w:tr w:rsidR="00A62BC3" w:rsidRPr="00502FC0" w:rsidTr="00FB2AED">
        <w:trPr>
          <w:trHeight w:val="210"/>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BC3" w:rsidRPr="00502FC0" w:rsidRDefault="00A62BC3" w:rsidP="00A62BC3">
            <w:pPr>
              <w:spacing w:after="0" w:line="240" w:lineRule="auto"/>
              <w:rPr>
                <w:rFonts w:ascii="Tahoma" w:eastAsia="Times New Roman" w:hAnsi="Tahoma" w:cs="Tahoma"/>
                <w:color w:val="000000"/>
                <w:sz w:val="16"/>
                <w:szCs w:val="16"/>
                <w:lang w:eastAsia="es-CO"/>
              </w:rPr>
            </w:pPr>
            <w:r w:rsidRPr="00502FC0">
              <w:rPr>
                <w:rFonts w:ascii="Tahoma" w:eastAsia="Times New Roman" w:hAnsi="Tahoma" w:cs="Tahoma"/>
                <w:color w:val="000000"/>
                <w:sz w:val="16"/>
                <w:szCs w:val="16"/>
                <w:lang w:eastAsia="es-CO"/>
              </w:rPr>
              <w:t>Gastos de personal de nómina normalización de planta docente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62BC3" w:rsidRPr="00502FC0" w:rsidRDefault="00A62BC3" w:rsidP="00A62BC3">
            <w:pPr>
              <w:spacing w:after="0" w:line="240" w:lineRule="auto"/>
              <w:jc w:val="right"/>
              <w:rPr>
                <w:rFonts w:ascii="Tahoma" w:eastAsia="Times New Roman" w:hAnsi="Tahoma" w:cs="Tahoma"/>
                <w:color w:val="000000"/>
                <w:sz w:val="16"/>
                <w:szCs w:val="16"/>
                <w:lang w:eastAsia="es-CO"/>
              </w:rPr>
            </w:pPr>
            <w:r w:rsidRPr="00502FC0">
              <w:rPr>
                <w:rFonts w:ascii="Tahoma" w:eastAsia="Times New Roman" w:hAnsi="Tahoma" w:cs="Tahoma"/>
                <w:color w:val="000000"/>
                <w:sz w:val="16"/>
                <w:szCs w:val="16"/>
                <w:lang w:eastAsia="es-CO"/>
              </w:rPr>
              <w:t xml:space="preserve">  429.387.464,00 </w:t>
            </w:r>
          </w:p>
        </w:tc>
        <w:tc>
          <w:tcPr>
            <w:tcW w:w="4820" w:type="dxa"/>
            <w:tcBorders>
              <w:top w:val="single" w:sz="4" w:space="0" w:color="auto"/>
              <w:left w:val="nil"/>
              <w:bottom w:val="single" w:sz="4" w:space="0" w:color="auto"/>
              <w:right w:val="single" w:sz="4" w:space="0" w:color="auto"/>
            </w:tcBorders>
            <w:shd w:val="clear" w:color="auto" w:fill="auto"/>
          </w:tcPr>
          <w:p w:rsidR="00A62BC3" w:rsidRPr="00A62BC3" w:rsidRDefault="00A62BC3" w:rsidP="00A62BC3">
            <w:pPr>
              <w:spacing w:after="0" w:line="240" w:lineRule="auto"/>
              <w:jc w:val="both"/>
              <w:rPr>
                <w:rFonts w:ascii="Tahoma" w:eastAsia="Times New Roman" w:hAnsi="Tahoma" w:cs="Tahoma"/>
                <w:sz w:val="16"/>
                <w:szCs w:val="16"/>
                <w:lang w:eastAsia="es-CO"/>
              </w:rPr>
            </w:pPr>
            <w:r w:rsidRPr="00A62BC3">
              <w:rPr>
                <w:rFonts w:ascii="Tahoma" w:eastAsia="Times New Roman" w:hAnsi="Tahoma" w:cs="Tahoma"/>
                <w:sz w:val="16"/>
                <w:szCs w:val="16"/>
                <w:lang w:eastAsia="es-CO"/>
              </w:rPr>
              <w:t>Este valor será utilizado en la normalización de planta docente de 6.5 cargos equivalentes tiempo completo, incluido en este valor los honorarios de la universidad que hará el concurso y suministrará a la Institución una lista de elegibles. Es de anotar que la proyección del recurso permitirá cubrir los costos de normalización hasta el año 2027, aproximadamente, de acuerdo a estudios realizados por las oficinas de talento humano y administrativa</w:t>
            </w:r>
          </w:p>
        </w:tc>
      </w:tr>
      <w:tr w:rsidR="00502FC0" w:rsidRPr="00502FC0" w:rsidTr="00FB2AED">
        <w:trPr>
          <w:trHeight w:val="210"/>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502FC0" w:rsidRPr="00502FC0" w:rsidRDefault="00502FC0" w:rsidP="00502FC0">
            <w:pPr>
              <w:spacing w:after="0" w:line="240" w:lineRule="auto"/>
              <w:rPr>
                <w:rFonts w:ascii="Tahoma" w:eastAsia="Times New Roman" w:hAnsi="Tahoma" w:cs="Tahoma"/>
                <w:color w:val="000000"/>
                <w:sz w:val="16"/>
                <w:szCs w:val="16"/>
                <w:lang w:eastAsia="es-CO"/>
              </w:rPr>
            </w:pPr>
            <w:r w:rsidRPr="00502FC0">
              <w:rPr>
                <w:rFonts w:ascii="Tahoma" w:eastAsia="Times New Roman" w:hAnsi="Tahoma" w:cs="Tahoma"/>
                <w:color w:val="000000"/>
                <w:sz w:val="16"/>
                <w:szCs w:val="16"/>
                <w:lang w:eastAsia="es-CO"/>
              </w:rPr>
              <w:t xml:space="preserve">Docentes ocasionales </w:t>
            </w:r>
          </w:p>
        </w:tc>
        <w:tc>
          <w:tcPr>
            <w:tcW w:w="1417" w:type="dxa"/>
            <w:tcBorders>
              <w:top w:val="nil"/>
              <w:left w:val="nil"/>
              <w:bottom w:val="single" w:sz="4" w:space="0" w:color="auto"/>
              <w:right w:val="single" w:sz="4" w:space="0" w:color="auto"/>
            </w:tcBorders>
            <w:shd w:val="clear" w:color="auto" w:fill="auto"/>
            <w:noWrap/>
            <w:vAlign w:val="bottom"/>
            <w:hideMark/>
          </w:tcPr>
          <w:p w:rsidR="00502FC0" w:rsidRPr="00502FC0" w:rsidRDefault="00502FC0" w:rsidP="00CF11C3">
            <w:pPr>
              <w:spacing w:after="0" w:line="240" w:lineRule="auto"/>
              <w:jc w:val="right"/>
              <w:rPr>
                <w:rFonts w:ascii="Tahoma" w:eastAsia="Times New Roman" w:hAnsi="Tahoma" w:cs="Tahoma"/>
                <w:color w:val="000000"/>
                <w:sz w:val="16"/>
                <w:szCs w:val="16"/>
                <w:lang w:eastAsia="es-CO"/>
              </w:rPr>
            </w:pPr>
            <w:r w:rsidRPr="00502FC0">
              <w:rPr>
                <w:rFonts w:ascii="Tahoma" w:eastAsia="Times New Roman" w:hAnsi="Tahoma" w:cs="Tahoma"/>
                <w:color w:val="000000"/>
                <w:sz w:val="16"/>
                <w:szCs w:val="16"/>
                <w:lang w:eastAsia="es-CO"/>
              </w:rPr>
              <w:t xml:space="preserve">    25.000.000,00 </w:t>
            </w:r>
          </w:p>
        </w:tc>
        <w:tc>
          <w:tcPr>
            <w:tcW w:w="4820" w:type="dxa"/>
            <w:tcBorders>
              <w:top w:val="nil"/>
              <w:left w:val="nil"/>
              <w:bottom w:val="single" w:sz="4" w:space="0" w:color="auto"/>
              <w:right w:val="single" w:sz="4" w:space="0" w:color="auto"/>
            </w:tcBorders>
            <w:shd w:val="clear" w:color="auto" w:fill="auto"/>
          </w:tcPr>
          <w:p w:rsidR="00502FC0" w:rsidRPr="00502FC0" w:rsidRDefault="00785A48" w:rsidP="00C1769A">
            <w:pPr>
              <w:jc w:val="both"/>
              <w:rPr>
                <w:rFonts w:ascii="Tahoma" w:eastAsia="Times New Roman" w:hAnsi="Tahoma" w:cs="Tahoma"/>
                <w:color w:val="000000"/>
                <w:sz w:val="16"/>
                <w:szCs w:val="16"/>
                <w:lang w:eastAsia="es-CO"/>
              </w:rPr>
            </w:pPr>
            <w:r w:rsidRPr="00785A48">
              <w:rPr>
                <w:rFonts w:ascii="Tahoma" w:eastAsia="Times New Roman" w:hAnsi="Tahoma" w:cs="Tahoma"/>
                <w:color w:val="000000"/>
                <w:sz w:val="16"/>
                <w:szCs w:val="16"/>
                <w:lang w:eastAsia="es-CO"/>
              </w:rPr>
              <w:t>La nueva realidad dada por el aumento en el número de estudiantes y de cursos, y la apertura de nuevas líneas como son la ruralidad y regionalización, las cuales surgieron a partir de los planes de fomento a la calidad – PFC-,  nos llevan a reconfigurar la proyección de horas cátedras necesarias, las cuales pasaron de un cálculo inicial de 29.952, que fue la base realizada en julio de 2019 para el presupuesto de 2020, a una estimación actual de 34.752 horas cátedra, que serán cubiertas por docentes de carr</w:t>
            </w:r>
            <w:r>
              <w:rPr>
                <w:rFonts w:ascii="Tahoma" w:eastAsia="Times New Roman" w:hAnsi="Tahoma" w:cs="Tahoma"/>
                <w:color w:val="000000"/>
                <w:sz w:val="16"/>
                <w:szCs w:val="16"/>
                <w:lang w:eastAsia="es-CO"/>
              </w:rPr>
              <w:t>era, ocasionales y catedráticos.</w:t>
            </w:r>
            <w:r w:rsidRPr="00502FC0">
              <w:rPr>
                <w:rFonts w:ascii="Tahoma" w:eastAsia="Times New Roman" w:hAnsi="Tahoma" w:cs="Tahoma"/>
                <w:color w:val="000000"/>
                <w:sz w:val="16"/>
                <w:szCs w:val="16"/>
                <w:lang w:eastAsia="es-CO"/>
              </w:rPr>
              <w:t xml:space="preserve"> </w:t>
            </w:r>
            <w:r w:rsidR="00910CBC" w:rsidRPr="00A11737">
              <w:rPr>
                <w:rFonts w:ascii="Tahoma" w:eastAsia="Times New Roman" w:hAnsi="Tahoma" w:cs="Tahoma"/>
                <w:b/>
                <w:i/>
                <w:color w:val="000000"/>
                <w:sz w:val="16"/>
                <w:szCs w:val="16"/>
                <w:lang w:eastAsia="es-CO"/>
              </w:rPr>
              <w:t>Anexo</w:t>
            </w:r>
            <w:r w:rsidR="00910CBC">
              <w:rPr>
                <w:rFonts w:ascii="Tahoma" w:eastAsia="Times New Roman" w:hAnsi="Tahoma" w:cs="Tahoma"/>
                <w:b/>
                <w:i/>
                <w:color w:val="000000"/>
                <w:sz w:val="16"/>
                <w:szCs w:val="16"/>
                <w:lang w:eastAsia="es-CO"/>
              </w:rPr>
              <w:t xml:space="preserve"> No. </w:t>
            </w:r>
            <w:r w:rsidR="00C1769A">
              <w:rPr>
                <w:rFonts w:ascii="Tahoma" w:eastAsia="Times New Roman" w:hAnsi="Tahoma" w:cs="Tahoma"/>
                <w:b/>
                <w:i/>
                <w:color w:val="000000"/>
                <w:sz w:val="16"/>
                <w:szCs w:val="16"/>
                <w:lang w:eastAsia="es-CO"/>
              </w:rPr>
              <w:t>4</w:t>
            </w:r>
          </w:p>
        </w:tc>
      </w:tr>
      <w:tr w:rsidR="00502FC0" w:rsidRPr="00502FC0" w:rsidTr="00FB2AED">
        <w:trPr>
          <w:trHeight w:val="210"/>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502FC0" w:rsidRPr="00502FC0" w:rsidRDefault="00502FC0" w:rsidP="00502FC0">
            <w:pPr>
              <w:spacing w:after="0" w:line="240" w:lineRule="auto"/>
              <w:rPr>
                <w:rFonts w:ascii="Tahoma" w:eastAsia="Times New Roman" w:hAnsi="Tahoma" w:cs="Tahoma"/>
                <w:color w:val="000000"/>
                <w:sz w:val="16"/>
                <w:szCs w:val="16"/>
                <w:lang w:eastAsia="es-CO"/>
              </w:rPr>
            </w:pPr>
            <w:r w:rsidRPr="00502FC0">
              <w:rPr>
                <w:rFonts w:ascii="Tahoma" w:eastAsia="Times New Roman" w:hAnsi="Tahoma" w:cs="Tahoma"/>
                <w:color w:val="000000"/>
                <w:sz w:val="16"/>
                <w:szCs w:val="16"/>
                <w:lang w:eastAsia="es-CO"/>
              </w:rPr>
              <w:t xml:space="preserve">Reserva presupuestal equipo tecnológico </w:t>
            </w:r>
          </w:p>
        </w:tc>
        <w:tc>
          <w:tcPr>
            <w:tcW w:w="1417" w:type="dxa"/>
            <w:tcBorders>
              <w:top w:val="nil"/>
              <w:left w:val="nil"/>
              <w:bottom w:val="single" w:sz="4" w:space="0" w:color="auto"/>
              <w:right w:val="single" w:sz="4" w:space="0" w:color="auto"/>
            </w:tcBorders>
            <w:shd w:val="clear" w:color="auto" w:fill="auto"/>
            <w:noWrap/>
            <w:vAlign w:val="bottom"/>
            <w:hideMark/>
          </w:tcPr>
          <w:p w:rsidR="00502FC0" w:rsidRPr="00502FC0" w:rsidRDefault="00502FC0" w:rsidP="00CF11C3">
            <w:pPr>
              <w:spacing w:after="0" w:line="240" w:lineRule="auto"/>
              <w:jc w:val="right"/>
              <w:rPr>
                <w:rFonts w:ascii="Tahoma" w:eastAsia="Times New Roman" w:hAnsi="Tahoma" w:cs="Tahoma"/>
                <w:color w:val="000000"/>
                <w:sz w:val="16"/>
                <w:szCs w:val="16"/>
                <w:lang w:eastAsia="es-CO"/>
              </w:rPr>
            </w:pPr>
            <w:r w:rsidRPr="00502FC0">
              <w:rPr>
                <w:rFonts w:ascii="Tahoma" w:eastAsia="Times New Roman" w:hAnsi="Tahoma" w:cs="Tahoma"/>
                <w:color w:val="000000"/>
                <w:sz w:val="16"/>
                <w:szCs w:val="16"/>
                <w:lang w:eastAsia="es-CO"/>
              </w:rPr>
              <w:t xml:space="preserve">    87.660.000,00 </w:t>
            </w:r>
          </w:p>
        </w:tc>
        <w:tc>
          <w:tcPr>
            <w:tcW w:w="4820" w:type="dxa"/>
            <w:tcBorders>
              <w:top w:val="nil"/>
              <w:left w:val="nil"/>
              <w:bottom w:val="single" w:sz="4" w:space="0" w:color="auto"/>
              <w:right w:val="single" w:sz="4" w:space="0" w:color="auto"/>
            </w:tcBorders>
            <w:shd w:val="clear" w:color="auto" w:fill="auto"/>
          </w:tcPr>
          <w:p w:rsidR="00502FC0" w:rsidRPr="00502FC0" w:rsidRDefault="00331805" w:rsidP="001A7B95">
            <w:pPr>
              <w:spacing w:after="0" w:line="240" w:lineRule="auto"/>
              <w:jc w:val="both"/>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 xml:space="preserve">En la vigencia 2019, se firmó un contrato con la firma </w:t>
            </w:r>
            <w:r w:rsidRPr="00331805">
              <w:rPr>
                <w:rFonts w:ascii="Tahoma" w:eastAsia="Times New Roman" w:hAnsi="Tahoma" w:cs="Tahoma"/>
                <w:color w:val="000000"/>
                <w:sz w:val="16"/>
                <w:szCs w:val="16"/>
                <w:lang w:eastAsia="es-CO"/>
              </w:rPr>
              <w:t>UNION TEMPORAL CINOC TECNOLOGIA 2019</w:t>
            </w:r>
            <w:r>
              <w:rPr>
                <w:rFonts w:ascii="Tahoma" w:eastAsia="Times New Roman" w:hAnsi="Tahoma" w:cs="Tahoma"/>
                <w:color w:val="000000"/>
                <w:sz w:val="16"/>
                <w:szCs w:val="16"/>
                <w:lang w:eastAsia="es-CO"/>
              </w:rPr>
              <w:t>, para el suministro de equipamiento tecnológico, en la ejecución de dicho contrato el contratista necesito importar algunos equipos los cuales no alcanzaron a llegar al país antes del 31-12-2019</w:t>
            </w:r>
            <w:r w:rsidR="001A7B95">
              <w:rPr>
                <w:rFonts w:ascii="Tahoma" w:eastAsia="Times New Roman" w:hAnsi="Tahoma" w:cs="Tahoma"/>
                <w:color w:val="000000"/>
                <w:sz w:val="16"/>
                <w:szCs w:val="16"/>
                <w:lang w:eastAsia="es-CO"/>
              </w:rPr>
              <w:t>. Por lo cual se debe provisionar este valor presupuestalmente para su posterior pago.</w:t>
            </w:r>
            <w:r>
              <w:rPr>
                <w:rFonts w:ascii="Tahoma" w:eastAsia="Times New Roman" w:hAnsi="Tahoma" w:cs="Tahoma"/>
                <w:color w:val="000000"/>
                <w:sz w:val="16"/>
                <w:szCs w:val="16"/>
                <w:lang w:eastAsia="es-CO"/>
              </w:rPr>
              <w:t xml:space="preserve"> </w:t>
            </w:r>
          </w:p>
        </w:tc>
      </w:tr>
      <w:tr w:rsidR="00502FC0" w:rsidRPr="00502FC0" w:rsidTr="00090727">
        <w:trPr>
          <w:trHeight w:val="210"/>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502FC0" w:rsidRPr="00502FC0" w:rsidRDefault="00502FC0" w:rsidP="00502FC0">
            <w:pPr>
              <w:spacing w:after="0" w:line="240" w:lineRule="auto"/>
              <w:rPr>
                <w:rFonts w:ascii="Tahoma" w:eastAsia="Times New Roman" w:hAnsi="Tahoma" w:cs="Tahoma"/>
                <w:color w:val="000000"/>
                <w:sz w:val="16"/>
                <w:szCs w:val="16"/>
                <w:lang w:eastAsia="es-CO"/>
              </w:rPr>
            </w:pPr>
            <w:r w:rsidRPr="00502FC0">
              <w:rPr>
                <w:rFonts w:ascii="Tahoma" w:eastAsia="Times New Roman" w:hAnsi="Tahoma" w:cs="Tahoma"/>
                <w:color w:val="000000"/>
                <w:sz w:val="16"/>
                <w:szCs w:val="16"/>
                <w:lang w:eastAsia="es-CO"/>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502FC0" w:rsidRPr="00502FC0" w:rsidRDefault="00502FC0" w:rsidP="00CF11C3">
            <w:pPr>
              <w:spacing w:after="0" w:line="240" w:lineRule="auto"/>
              <w:jc w:val="right"/>
              <w:rPr>
                <w:rFonts w:ascii="Tahoma" w:eastAsia="Times New Roman" w:hAnsi="Tahoma" w:cs="Tahoma"/>
                <w:color w:val="000000"/>
                <w:sz w:val="16"/>
                <w:szCs w:val="16"/>
                <w:lang w:eastAsia="es-CO"/>
              </w:rPr>
            </w:pPr>
            <w:r w:rsidRPr="00502FC0">
              <w:rPr>
                <w:rFonts w:ascii="Tahoma" w:eastAsia="Times New Roman" w:hAnsi="Tahoma" w:cs="Tahoma"/>
                <w:color w:val="000000"/>
                <w:sz w:val="16"/>
                <w:szCs w:val="16"/>
                <w:lang w:eastAsia="es-CO"/>
              </w:rPr>
              <w:t xml:space="preserve">  542.047.464,00 </w:t>
            </w:r>
          </w:p>
        </w:tc>
        <w:tc>
          <w:tcPr>
            <w:tcW w:w="4820" w:type="dxa"/>
            <w:tcBorders>
              <w:top w:val="nil"/>
              <w:left w:val="nil"/>
              <w:bottom w:val="single" w:sz="4" w:space="0" w:color="auto"/>
              <w:right w:val="single" w:sz="4" w:space="0" w:color="auto"/>
            </w:tcBorders>
          </w:tcPr>
          <w:p w:rsidR="00502FC0" w:rsidRPr="00502FC0" w:rsidRDefault="00502FC0" w:rsidP="00502FC0">
            <w:pPr>
              <w:spacing w:after="0" w:line="240" w:lineRule="auto"/>
              <w:rPr>
                <w:rFonts w:ascii="Tahoma" w:eastAsia="Times New Roman" w:hAnsi="Tahoma" w:cs="Tahoma"/>
                <w:color w:val="000000"/>
                <w:sz w:val="16"/>
                <w:szCs w:val="16"/>
                <w:lang w:eastAsia="es-CO"/>
              </w:rPr>
            </w:pPr>
          </w:p>
        </w:tc>
      </w:tr>
    </w:tbl>
    <w:p w:rsidR="00554000" w:rsidRDefault="00554000" w:rsidP="00725BF7">
      <w:pPr>
        <w:spacing w:line="240" w:lineRule="auto"/>
        <w:contextualSpacing/>
        <w:jc w:val="both"/>
        <w:rPr>
          <w:lang w:val="es-ES"/>
        </w:rPr>
      </w:pPr>
    </w:p>
    <w:p w:rsidR="00554000" w:rsidRDefault="00231662" w:rsidP="00A62BC3">
      <w:pPr>
        <w:pStyle w:val="Prrafodelista"/>
        <w:numPr>
          <w:ilvl w:val="1"/>
          <w:numId w:val="2"/>
        </w:numPr>
        <w:spacing w:line="240" w:lineRule="auto"/>
        <w:rPr>
          <w:lang w:val="es-ES"/>
        </w:rPr>
      </w:pPr>
      <w:r>
        <w:rPr>
          <w:lang w:val="es-ES"/>
        </w:rPr>
        <w:t>Adición recursos del balance</w:t>
      </w:r>
      <w:r w:rsidR="006F14B8">
        <w:rPr>
          <w:lang w:val="es-ES"/>
        </w:rPr>
        <w:t>, fuente de financiación</w:t>
      </w:r>
      <w:r>
        <w:rPr>
          <w:lang w:val="es-ES"/>
        </w:rPr>
        <w:t xml:space="preserve"> recursos CREE</w:t>
      </w:r>
      <w:r w:rsidR="00FA4D75">
        <w:rPr>
          <w:lang w:val="es-ES"/>
        </w:rPr>
        <w:t>,</w:t>
      </w:r>
      <w:r>
        <w:rPr>
          <w:lang w:val="es-ES"/>
        </w:rPr>
        <w:t xml:space="preserve"> por un valor de QUINIENTOS NOVENTA Y SEIS MILLONES CUATROCIENTOS OCHENTA Y CINCO MIL CIENTO VEINTICINCO PESOS ($596.485.125).</w:t>
      </w:r>
    </w:p>
    <w:tbl>
      <w:tblPr>
        <w:tblW w:w="3331" w:type="dxa"/>
        <w:tblInd w:w="633" w:type="dxa"/>
        <w:tblCellMar>
          <w:left w:w="70" w:type="dxa"/>
          <w:right w:w="70" w:type="dxa"/>
        </w:tblCellMar>
        <w:tblLook w:val="04A0" w:firstRow="1" w:lastRow="0" w:firstColumn="1" w:lastColumn="0" w:noHBand="0" w:noVBand="1"/>
      </w:tblPr>
      <w:tblGrid>
        <w:gridCol w:w="1914"/>
        <w:gridCol w:w="1417"/>
      </w:tblGrid>
      <w:tr w:rsidR="008E2073" w:rsidRPr="002367A4" w:rsidTr="008E2073">
        <w:trPr>
          <w:trHeight w:val="210"/>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073" w:rsidRPr="00117964" w:rsidRDefault="008E2073" w:rsidP="002367A4">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DETALLE</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E2073" w:rsidRPr="00117964" w:rsidRDefault="008E2073" w:rsidP="002367A4">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VALOR</w:t>
            </w:r>
          </w:p>
        </w:tc>
      </w:tr>
      <w:tr w:rsidR="008E2073" w:rsidRPr="002367A4" w:rsidTr="008E2073">
        <w:trPr>
          <w:trHeight w:val="210"/>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073" w:rsidRPr="002367A4" w:rsidRDefault="008E2073" w:rsidP="002D6B86">
            <w:pPr>
              <w:spacing w:after="0" w:line="240" w:lineRule="auto"/>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Infraestructura física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E2073" w:rsidRPr="002367A4" w:rsidRDefault="008E2073" w:rsidP="002D6B86">
            <w:pPr>
              <w:spacing w:after="0" w:line="240" w:lineRule="auto"/>
              <w:jc w:val="right"/>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  399.166.364,00 </w:t>
            </w:r>
          </w:p>
        </w:tc>
      </w:tr>
      <w:tr w:rsidR="008E2073" w:rsidRPr="002367A4" w:rsidTr="008E2073">
        <w:trPr>
          <w:trHeight w:val="210"/>
        </w:trPr>
        <w:tc>
          <w:tcPr>
            <w:tcW w:w="1914" w:type="dxa"/>
            <w:tcBorders>
              <w:top w:val="nil"/>
              <w:left w:val="single" w:sz="4" w:space="0" w:color="auto"/>
              <w:bottom w:val="single" w:sz="4" w:space="0" w:color="auto"/>
              <w:right w:val="single" w:sz="4" w:space="0" w:color="auto"/>
            </w:tcBorders>
            <w:shd w:val="clear" w:color="auto" w:fill="auto"/>
            <w:noWrap/>
            <w:vAlign w:val="center"/>
            <w:hideMark/>
          </w:tcPr>
          <w:p w:rsidR="008E2073" w:rsidRPr="002367A4" w:rsidRDefault="008E2073" w:rsidP="002D6B86">
            <w:pPr>
              <w:spacing w:after="0" w:line="240" w:lineRule="auto"/>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B-</w:t>
            </w:r>
            <w:proofErr w:type="spellStart"/>
            <w:r w:rsidRPr="002367A4">
              <w:rPr>
                <w:rFonts w:ascii="Tahoma" w:eastAsia="Times New Roman" w:hAnsi="Tahoma" w:cs="Tahoma"/>
                <w:color w:val="000000"/>
                <w:sz w:val="16"/>
                <w:szCs w:val="16"/>
                <w:lang w:eastAsia="es-CO"/>
              </w:rPr>
              <w:t>learning</w:t>
            </w:r>
            <w:proofErr w:type="spellEnd"/>
            <w:r w:rsidRPr="002367A4">
              <w:rPr>
                <w:rFonts w:ascii="Tahoma" w:eastAsia="Times New Roman" w:hAnsi="Tahoma" w:cs="Tahoma"/>
                <w:color w:val="000000"/>
                <w:sz w:val="16"/>
                <w:szCs w:val="16"/>
                <w:lang w:eastAsia="es-CO"/>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E2073" w:rsidRPr="002367A4" w:rsidRDefault="008E2073" w:rsidP="002D6B86">
            <w:pPr>
              <w:spacing w:after="0" w:line="240" w:lineRule="auto"/>
              <w:jc w:val="right"/>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    21.139.652,00 </w:t>
            </w:r>
          </w:p>
        </w:tc>
      </w:tr>
      <w:tr w:rsidR="008E2073" w:rsidRPr="002367A4" w:rsidTr="008E2073">
        <w:trPr>
          <w:trHeight w:val="210"/>
        </w:trPr>
        <w:tc>
          <w:tcPr>
            <w:tcW w:w="1914" w:type="dxa"/>
            <w:tcBorders>
              <w:top w:val="nil"/>
              <w:left w:val="single" w:sz="4" w:space="0" w:color="auto"/>
              <w:bottom w:val="single" w:sz="4" w:space="0" w:color="auto"/>
              <w:right w:val="single" w:sz="4" w:space="0" w:color="auto"/>
            </w:tcBorders>
            <w:shd w:val="clear" w:color="auto" w:fill="auto"/>
            <w:noWrap/>
            <w:vAlign w:val="center"/>
            <w:hideMark/>
          </w:tcPr>
          <w:p w:rsidR="008E2073" w:rsidRPr="002367A4" w:rsidRDefault="008E2073" w:rsidP="002D6B86">
            <w:pPr>
              <w:spacing w:after="0" w:line="240" w:lineRule="auto"/>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lastRenderedPageBreak/>
              <w:t xml:space="preserve">Infraestructura tecnológica                                                                                                                                                                                                                     </w:t>
            </w:r>
          </w:p>
        </w:tc>
        <w:tc>
          <w:tcPr>
            <w:tcW w:w="1417" w:type="dxa"/>
            <w:tcBorders>
              <w:top w:val="nil"/>
              <w:left w:val="nil"/>
              <w:bottom w:val="single" w:sz="4" w:space="0" w:color="auto"/>
              <w:right w:val="single" w:sz="4" w:space="0" w:color="auto"/>
            </w:tcBorders>
            <w:shd w:val="clear" w:color="auto" w:fill="auto"/>
            <w:noWrap/>
            <w:vAlign w:val="bottom"/>
            <w:hideMark/>
          </w:tcPr>
          <w:p w:rsidR="008E2073" w:rsidRPr="002367A4" w:rsidRDefault="008E2073" w:rsidP="002D6B86">
            <w:pPr>
              <w:spacing w:after="0" w:line="240" w:lineRule="auto"/>
              <w:jc w:val="right"/>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    31.533.002,00 </w:t>
            </w:r>
          </w:p>
        </w:tc>
      </w:tr>
      <w:tr w:rsidR="008E2073" w:rsidRPr="002367A4" w:rsidTr="008E2073">
        <w:trPr>
          <w:trHeight w:val="210"/>
        </w:trPr>
        <w:tc>
          <w:tcPr>
            <w:tcW w:w="1914" w:type="dxa"/>
            <w:tcBorders>
              <w:top w:val="nil"/>
              <w:left w:val="single" w:sz="4" w:space="0" w:color="auto"/>
              <w:bottom w:val="single" w:sz="4" w:space="0" w:color="auto"/>
              <w:right w:val="single" w:sz="4" w:space="0" w:color="auto"/>
            </w:tcBorders>
            <w:shd w:val="clear" w:color="auto" w:fill="auto"/>
            <w:noWrap/>
            <w:vAlign w:val="center"/>
            <w:hideMark/>
          </w:tcPr>
          <w:p w:rsidR="008E2073" w:rsidRPr="002367A4" w:rsidRDefault="008E2073" w:rsidP="002D6B86">
            <w:pPr>
              <w:spacing w:after="0" w:line="240" w:lineRule="auto"/>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Infraestructura tecnológica R</w:t>
            </w:r>
            <w:r>
              <w:rPr>
                <w:rFonts w:ascii="Tahoma" w:eastAsia="Times New Roman" w:hAnsi="Tahoma" w:cs="Tahoma"/>
                <w:color w:val="000000"/>
                <w:sz w:val="16"/>
                <w:szCs w:val="16"/>
                <w:lang w:eastAsia="es-CO"/>
              </w:rPr>
              <w:t xml:space="preserve">eserva </w:t>
            </w:r>
            <w:proofErr w:type="spellStart"/>
            <w:r>
              <w:rPr>
                <w:rFonts w:ascii="Tahoma" w:eastAsia="Times New Roman" w:hAnsi="Tahoma" w:cs="Tahoma"/>
                <w:color w:val="000000"/>
                <w:sz w:val="16"/>
                <w:szCs w:val="16"/>
                <w:lang w:eastAsia="es-CO"/>
              </w:rPr>
              <w:t>ptal</w:t>
            </w:r>
            <w:proofErr w:type="spellEnd"/>
            <w:r>
              <w:rPr>
                <w:rFonts w:ascii="Tahoma" w:eastAsia="Times New Roman" w:hAnsi="Tahoma" w:cs="Tahoma"/>
                <w:color w:val="000000"/>
                <w:sz w:val="16"/>
                <w:szCs w:val="16"/>
                <w:lang w:eastAsia="es-CO"/>
              </w:rPr>
              <w:t>.</w:t>
            </w:r>
            <w:r w:rsidRPr="002367A4">
              <w:rPr>
                <w:rFonts w:ascii="Tahoma" w:eastAsia="Times New Roman" w:hAnsi="Tahoma" w:cs="Tahoma"/>
                <w:color w:val="000000"/>
                <w:sz w:val="16"/>
                <w:szCs w:val="16"/>
                <w:lang w:eastAsia="es-CO"/>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E2073" w:rsidRPr="002367A4" w:rsidRDefault="008E2073" w:rsidP="002D6B86">
            <w:pPr>
              <w:spacing w:after="0" w:line="240" w:lineRule="auto"/>
              <w:jc w:val="right"/>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      5.693.793,00 </w:t>
            </w:r>
          </w:p>
        </w:tc>
      </w:tr>
      <w:tr w:rsidR="008E2073" w:rsidRPr="002367A4" w:rsidTr="008E2073">
        <w:trPr>
          <w:trHeight w:val="210"/>
        </w:trPr>
        <w:tc>
          <w:tcPr>
            <w:tcW w:w="1914" w:type="dxa"/>
            <w:tcBorders>
              <w:top w:val="nil"/>
              <w:left w:val="single" w:sz="4" w:space="0" w:color="auto"/>
              <w:bottom w:val="single" w:sz="4" w:space="0" w:color="auto"/>
              <w:right w:val="single" w:sz="4" w:space="0" w:color="auto"/>
            </w:tcBorders>
            <w:shd w:val="clear" w:color="auto" w:fill="auto"/>
            <w:noWrap/>
            <w:vAlign w:val="center"/>
            <w:hideMark/>
          </w:tcPr>
          <w:p w:rsidR="008E2073" w:rsidRPr="002367A4" w:rsidRDefault="008E2073" w:rsidP="002D6B86">
            <w:pPr>
              <w:spacing w:after="0" w:line="240" w:lineRule="auto"/>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Cualificación docente                                                                                                                                                                                                                           </w:t>
            </w:r>
          </w:p>
        </w:tc>
        <w:tc>
          <w:tcPr>
            <w:tcW w:w="1417" w:type="dxa"/>
            <w:tcBorders>
              <w:top w:val="nil"/>
              <w:left w:val="nil"/>
              <w:bottom w:val="single" w:sz="4" w:space="0" w:color="auto"/>
              <w:right w:val="single" w:sz="4" w:space="0" w:color="auto"/>
            </w:tcBorders>
            <w:shd w:val="clear" w:color="auto" w:fill="auto"/>
            <w:noWrap/>
            <w:vAlign w:val="bottom"/>
            <w:hideMark/>
          </w:tcPr>
          <w:p w:rsidR="008E2073" w:rsidRPr="002367A4" w:rsidRDefault="008E2073" w:rsidP="002D6B86">
            <w:pPr>
              <w:spacing w:after="0" w:line="240" w:lineRule="auto"/>
              <w:jc w:val="right"/>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    15.356.700,00 </w:t>
            </w:r>
          </w:p>
        </w:tc>
      </w:tr>
      <w:tr w:rsidR="008E2073" w:rsidRPr="002367A4" w:rsidTr="008E2073">
        <w:trPr>
          <w:trHeight w:val="210"/>
        </w:trPr>
        <w:tc>
          <w:tcPr>
            <w:tcW w:w="1914" w:type="dxa"/>
            <w:tcBorders>
              <w:top w:val="nil"/>
              <w:left w:val="single" w:sz="4" w:space="0" w:color="auto"/>
              <w:bottom w:val="single" w:sz="4" w:space="0" w:color="auto"/>
              <w:right w:val="single" w:sz="4" w:space="0" w:color="auto"/>
            </w:tcBorders>
            <w:shd w:val="clear" w:color="auto" w:fill="auto"/>
            <w:noWrap/>
            <w:vAlign w:val="center"/>
            <w:hideMark/>
          </w:tcPr>
          <w:p w:rsidR="008E2073" w:rsidRPr="002367A4" w:rsidRDefault="008E2073" w:rsidP="002D6B86">
            <w:pPr>
              <w:spacing w:after="0" w:line="240" w:lineRule="auto"/>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Ciclos propedéuticos                                                                                                                                                                                                                            </w:t>
            </w:r>
          </w:p>
        </w:tc>
        <w:tc>
          <w:tcPr>
            <w:tcW w:w="1417" w:type="dxa"/>
            <w:tcBorders>
              <w:top w:val="nil"/>
              <w:left w:val="nil"/>
              <w:bottom w:val="single" w:sz="4" w:space="0" w:color="auto"/>
              <w:right w:val="single" w:sz="4" w:space="0" w:color="auto"/>
            </w:tcBorders>
            <w:shd w:val="clear" w:color="auto" w:fill="auto"/>
            <w:noWrap/>
            <w:vAlign w:val="bottom"/>
            <w:hideMark/>
          </w:tcPr>
          <w:p w:rsidR="008E2073" w:rsidRPr="002367A4" w:rsidRDefault="008E2073" w:rsidP="002D6B86">
            <w:pPr>
              <w:spacing w:after="0" w:line="240" w:lineRule="auto"/>
              <w:jc w:val="right"/>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  154.090.600,00 </w:t>
            </w:r>
          </w:p>
        </w:tc>
      </w:tr>
      <w:tr w:rsidR="008E2073" w:rsidRPr="002367A4" w:rsidTr="008E2073">
        <w:trPr>
          <w:trHeight w:val="210"/>
        </w:trPr>
        <w:tc>
          <w:tcPr>
            <w:tcW w:w="1914" w:type="dxa"/>
            <w:tcBorders>
              <w:top w:val="nil"/>
              <w:left w:val="single" w:sz="4" w:space="0" w:color="auto"/>
              <w:bottom w:val="single" w:sz="4" w:space="0" w:color="auto"/>
              <w:right w:val="single" w:sz="4" w:space="0" w:color="auto"/>
            </w:tcBorders>
            <w:shd w:val="clear" w:color="auto" w:fill="auto"/>
            <w:noWrap/>
            <w:vAlign w:val="center"/>
            <w:hideMark/>
          </w:tcPr>
          <w:p w:rsidR="008E2073" w:rsidRPr="002367A4" w:rsidRDefault="008E2073" w:rsidP="002D6B86">
            <w:pPr>
              <w:spacing w:after="0" w:line="240" w:lineRule="auto"/>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Permanencia                                                                                                                                                                                                                                     </w:t>
            </w:r>
          </w:p>
        </w:tc>
        <w:tc>
          <w:tcPr>
            <w:tcW w:w="1417" w:type="dxa"/>
            <w:tcBorders>
              <w:top w:val="nil"/>
              <w:left w:val="nil"/>
              <w:bottom w:val="single" w:sz="4" w:space="0" w:color="auto"/>
              <w:right w:val="single" w:sz="4" w:space="0" w:color="auto"/>
            </w:tcBorders>
            <w:shd w:val="clear" w:color="auto" w:fill="auto"/>
            <w:noWrap/>
            <w:vAlign w:val="bottom"/>
            <w:hideMark/>
          </w:tcPr>
          <w:p w:rsidR="008E2073" w:rsidRPr="002367A4" w:rsidRDefault="008E2073" w:rsidP="002D6B86">
            <w:pPr>
              <w:spacing w:after="0" w:line="240" w:lineRule="auto"/>
              <w:jc w:val="right"/>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   29.323.932,00 </w:t>
            </w:r>
          </w:p>
        </w:tc>
      </w:tr>
      <w:tr w:rsidR="008E2073" w:rsidRPr="002367A4" w:rsidTr="008E2073">
        <w:trPr>
          <w:trHeight w:val="210"/>
        </w:trPr>
        <w:tc>
          <w:tcPr>
            <w:tcW w:w="1914" w:type="dxa"/>
            <w:tcBorders>
              <w:top w:val="nil"/>
              <w:left w:val="single" w:sz="4" w:space="0" w:color="auto"/>
              <w:bottom w:val="single" w:sz="4" w:space="0" w:color="auto"/>
              <w:right w:val="single" w:sz="4" w:space="0" w:color="auto"/>
            </w:tcBorders>
            <w:shd w:val="clear" w:color="auto" w:fill="auto"/>
            <w:noWrap/>
            <w:vAlign w:val="center"/>
            <w:hideMark/>
          </w:tcPr>
          <w:p w:rsidR="008E2073" w:rsidRPr="002367A4" w:rsidRDefault="008E2073" w:rsidP="002D6B86">
            <w:pPr>
              <w:spacing w:after="0" w:line="240" w:lineRule="auto"/>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Proyectos de investigación IES CINOC                                                                                                                                                                                                            </w:t>
            </w:r>
          </w:p>
        </w:tc>
        <w:tc>
          <w:tcPr>
            <w:tcW w:w="1417" w:type="dxa"/>
            <w:tcBorders>
              <w:top w:val="nil"/>
              <w:left w:val="nil"/>
              <w:bottom w:val="single" w:sz="4" w:space="0" w:color="auto"/>
              <w:right w:val="single" w:sz="4" w:space="0" w:color="auto"/>
            </w:tcBorders>
            <w:shd w:val="clear" w:color="auto" w:fill="auto"/>
            <w:noWrap/>
            <w:vAlign w:val="bottom"/>
            <w:hideMark/>
          </w:tcPr>
          <w:p w:rsidR="008E2073" w:rsidRPr="002367A4" w:rsidRDefault="008E2073" w:rsidP="002D6B86">
            <w:pPr>
              <w:spacing w:after="0" w:line="240" w:lineRule="auto"/>
              <w:jc w:val="right"/>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 xml:space="preserve">-     1.171.054,00 </w:t>
            </w:r>
          </w:p>
        </w:tc>
      </w:tr>
      <w:tr w:rsidR="008E2073" w:rsidRPr="002367A4" w:rsidTr="008E2073">
        <w:trPr>
          <w:trHeight w:val="210"/>
        </w:trPr>
        <w:tc>
          <w:tcPr>
            <w:tcW w:w="1914" w:type="dxa"/>
            <w:tcBorders>
              <w:top w:val="nil"/>
              <w:left w:val="single" w:sz="4" w:space="0" w:color="auto"/>
              <w:bottom w:val="single" w:sz="4" w:space="0" w:color="auto"/>
              <w:right w:val="single" w:sz="4" w:space="0" w:color="auto"/>
            </w:tcBorders>
            <w:shd w:val="clear" w:color="auto" w:fill="auto"/>
            <w:noWrap/>
            <w:vAlign w:val="center"/>
            <w:hideMark/>
          </w:tcPr>
          <w:p w:rsidR="008E2073" w:rsidRPr="002367A4" w:rsidRDefault="008E2073" w:rsidP="002D6B86">
            <w:pPr>
              <w:spacing w:after="0" w:line="240" w:lineRule="auto"/>
              <w:rPr>
                <w:rFonts w:ascii="Tahoma" w:eastAsia="Times New Roman" w:hAnsi="Tahoma" w:cs="Tahoma"/>
                <w:color w:val="000000"/>
                <w:sz w:val="16"/>
                <w:szCs w:val="16"/>
                <w:lang w:eastAsia="es-CO"/>
              </w:rPr>
            </w:pPr>
            <w:r w:rsidRPr="002367A4">
              <w:rPr>
                <w:rFonts w:ascii="Tahoma" w:eastAsia="Times New Roman" w:hAnsi="Tahoma" w:cs="Tahoma"/>
                <w:color w:val="000000"/>
                <w:sz w:val="16"/>
                <w:szCs w:val="16"/>
                <w:lang w:eastAsia="es-CO"/>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8E2073" w:rsidRPr="002367A4" w:rsidRDefault="008E2073" w:rsidP="002D6B86">
            <w:pPr>
              <w:spacing w:after="0" w:line="240" w:lineRule="auto"/>
              <w:jc w:val="right"/>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596.485.125.00</w:t>
            </w:r>
          </w:p>
        </w:tc>
      </w:tr>
    </w:tbl>
    <w:p w:rsidR="002367A4" w:rsidRDefault="002367A4" w:rsidP="002367A4">
      <w:pPr>
        <w:spacing w:line="240" w:lineRule="auto"/>
        <w:jc w:val="both"/>
        <w:rPr>
          <w:lang w:val="es-ES"/>
        </w:rPr>
      </w:pPr>
    </w:p>
    <w:p w:rsidR="00344D11" w:rsidRDefault="00344D11" w:rsidP="00344D11">
      <w:pPr>
        <w:pStyle w:val="Prrafodelista"/>
        <w:spacing w:line="240" w:lineRule="auto"/>
        <w:ind w:left="708"/>
        <w:jc w:val="both"/>
        <w:rPr>
          <w:lang w:val="es-ES"/>
        </w:rPr>
      </w:pPr>
      <w:r w:rsidRPr="00344D11">
        <w:rPr>
          <w:lang w:val="es-ES"/>
        </w:rPr>
        <w:t xml:space="preserve">La Institución, al igual que todas las IES del país, recibió recursos por el Impuesto CREE desde finales del año 2013 hasta el año 2017 siendo un total recibido por parte del Gobierno Nacional de $10.015.712.730, los cuales han sido distribuidos en las diferentes líneas estratégicas definidas por el Ministerio de Educación Nacional.  </w:t>
      </w:r>
    </w:p>
    <w:p w:rsidR="00344D11" w:rsidRPr="00344D11" w:rsidRDefault="00344D11" w:rsidP="00344D11">
      <w:pPr>
        <w:pStyle w:val="Prrafodelista"/>
        <w:spacing w:line="240" w:lineRule="auto"/>
        <w:ind w:left="708"/>
        <w:jc w:val="both"/>
        <w:rPr>
          <w:lang w:val="es-ES"/>
        </w:rPr>
      </w:pPr>
    </w:p>
    <w:p w:rsidR="00344D11" w:rsidRDefault="00344D11" w:rsidP="00344D11">
      <w:pPr>
        <w:pStyle w:val="Prrafodelista"/>
        <w:spacing w:line="240" w:lineRule="auto"/>
        <w:ind w:left="708"/>
        <w:jc w:val="both"/>
        <w:rPr>
          <w:lang w:val="es-ES"/>
        </w:rPr>
      </w:pPr>
      <w:r w:rsidRPr="00344D11">
        <w:rPr>
          <w:lang w:val="es-ES"/>
        </w:rPr>
        <w:t xml:space="preserve">Para la asignación de recursos por línea para los años 2013 y 2014 se estructuraron 3 Proyectos macros los cuales fueron aprobados por el Consejo Directivo, ellos son: El proyecto de Infraestructura Física y Tecnológica, el Proyecto de Ciclos Propedéuticos y el Proyecto </w:t>
      </w:r>
      <w:proofErr w:type="spellStart"/>
      <w:proofErr w:type="gramStart"/>
      <w:r w:rsidRPr="00344D11">
        <w:rPr>
          <w:lang w:val="es-ES"/>
        </w:rPr>
        <w:t>B.Learning</w:t>
      </w:r>
      <w:proofErr w:type="spellEnd"/>
      <w:proofErr w:type="gramEnd"/>
      <w:r w:rsidRPr="00344D11">
        <w:rPr>
          <w:lang w:val="es-ES"/>
        </w:rPr>
        <w:t xml:space="preserve">.  </w:t>
      </w:r>
    </w:p>
    <w:p w:rsidR="00344D11" w:rsidRPr="00344D11" w:rsidRDefault="00344D11" w:rsidP="00344D11">
      <w:pPr>
        <w:pStyle w:val="Prrafodelista"/>
        <w:spacing w:line="240" w:lineRule="auto"/>
        <w:ind w:left="1080"/>
        <w:jc w:val="both"/>
        <w:rPr>
          <w:lang w:val="es-ES"/>
        </w:rPr>
      </w:pPr>
    </w:p>
    <w:p w:rsidR="00344D11" w:rsidRDefault="00344D11" w:rsidP="00344D11">
      <w:pPr>
        <w:pStyle w:val="Prrafodelista"/>
        <w:spacing w:line="240" w:lineRule="auto"/>
        <w:ind w:left="708"/>
        <w:jc w:val="both"/>
        <w:rPr>
          <w:lang w:val="es-ES"/>
        </w:rPr>
      </w:pPr>
      <w:r w:rsidRPr="00344D11">
        <w:rPr>
          <w:lang w:val="es-ES"/>
        </w:rPr>
        <w:t>Para la asignación de los recursos de los años 2015, 2016 y 2017 se estructuraron a través de la presentación de Planes de Fomento a la Calidad PFC los cuales continuaron con las líneas de trabajo establecidas por el MEN para tal fin y debidamente aprobados por el Consejo Directivo de la Entidad. Es así como la totalidad de proyectos financiados con Recursos CREE son:</w:t>
      </w:r>
    </w:p>
    <w:p w:rsidR="00344D11" w:rsidRPr="00344D11" w:rsidRDefault="00344D11" w:rsidP="00344D11">
      <w:pPr>
        <w:pStyle w:val="Prrafodelista"/>
        <w:spacing w:line="240" w:lineRule="auto"/>
        <w:ind w:left="1080"/>
        <w:jc w:val="both"/>
        <w:rPr>
          <w:lang w:val="es-ES"/>
        </w:rPr>
      </w:pPr>
    </w:p>
    <w:p w:rsidR="00344D11" w:rsidRPr="00344D11" w:rsidRDefault="00344D11" w:rsidP="00344D11">
      <w:pPr>
        <w:pStyle w:val="Prrafodelista"/>
        <w:numPr>
          <w:ilvl w:val="0"/>
          <w:numId w:val="14"/>
        </w:numPr>
        <w:spacing w:line="240" w:lineRule="auto"/>
        <w:jc w:val="both"/>
        <w:rPr>
          <w:lang w:val="es-ES"/>
        </w:rPr>
      </w:pPr>
      <w:r w:rsidRPr="00344D11">
        <w:rPr>
          <w:lang w:val="es-ES"/>
        </w:rPr>
        <w:t>Proyecto de Infraestructura Física</w:t>
      </w:r>
    </w:p>
    <w:p w:rsidR="00344D11" w:rsidRPr="00344D11" w:rsidRDefault="00344D11" w:rsidP="00344D11">
      <w:pPr>
        <w:pStyle w:val="Prrafodelista"/>
        <w:numPr>
          <w:ilvl w:val="0"/>
          <w:numId w:val="14"/>
        </w:numPr>
        <w:spacing w:line="240" w:lineRule="auto"/>
        <w:jc w:val="both"/>
        <w:rPr>
          <w:lang w:val="es-ES"/>
        </w:rPr>
      </w:pPr>
      <w:r w:rsidRPr="00344D11">
        <w:rPr>
          <w:lang w:val="es-ES"/>
        </w:rPr>
        <w:t>Proyecto de Infraestructura Tecnológica</w:t>
      </w:r>
    </w:p>
    <w:p w:rsidR="00344D11" w:rsidRPr="00344D11" w:rsidRDefault="00344D11" w:rsidP="00344D11">
      <w:pPr>
        <w:pStyle w:val="Prrafodelista"/>
        <w:numPr>
          <w:ilvl w:val="0"/>
          <w:numId w:val="14"/>
        </w:numPr>
        <w:spacing w:line="240" w:lineRule="auto"/>
        <w:jc w:val="both"/>
        <w:rPr>
          <w:lang w:val="es-ES"/>
        </w:rPr>
      </w:pPr>
      <w:r w:rsidRPr="00344D11">
        <w:rPr>
          <w:lang w:val="es-ES"/>
        </w:rPr>
        <w:t xml:space="preserve">Proyecto </w:t>
      </w:r>
      <w:proofErr w:type="spellStart"/>
      <w:proofErr w:type="gramStart"/>
      <w:r w:rsidRPr="00344D11">
        <w:rPr>
          <w:lang w:val="es-ES"/>
        </w:rPr>
        <w:t>B.Learning</w:t>
      </w:r>
      <w:proofErr w:type="spellEnd"/>
      <w:proofErr w:type="gramEnd"/>
    </w:p>
    <w:p w:rsidR="00344D11" w:rsidRPr="00344D11" w:rsidRDefault="00344D11" w:rsidP="00344D11">
      <w:pPr>
        <w:pStyle w:val="Prrafodelista"/>
        <w:numPr>
          <w:ilvl w:val="0"/>
          <w:numId w:val="14"/>
        </w:numPr>
        <w:spacing w:line="240" w:lineRule="auto"/>
        <w:jc w:val="both"/>
        <w:rPr>
          <w:lang w:val="es-ES"/>
        </w:rPr>
      </w:pPr>
      <w:r w:rsidRPr="00344D11">
        <w:rPr>
          <w:lang w:val="es-ES"/>
        </w:rPr>
        <w:t>Proyecto de Ciclos Propedéuticos</w:t>
      </w:r>
    </w:p>
    <w:p w:rsidR="00344D11" w:rsidRPr="00344D11" w:rsidRDefault="00344D11" w:rsidP="00344D11">
      <w:pPr>
        <w:pStyle w:val="Prrafodelista"/>
        <w:numPr>
          <w:ilvl w:val="0"/>
          <w:numId w:val="14"/>
        </w:numPr>
        <w:spacing w:line="240" w:lineRule="auto"/>
        <w:jc w:val="both"/>
        <w:rPr>
          <w:lang w:val="es-ES"/>
        </w:rPr>
      </w:pPr>
      <w:r w:rsidRPr="00344D11">
        <w:rPr>
          <w:lang w:val="es-ES"/>
        </w:rPr>
        <w:t>Proyecto de Cualificación Docente</w:t>
      </w:r>
    </w:p>
    <w:p w:rsidR="00344D11" w:rsidRPr="00344D11" w:rsidRDefault="00344D11" w:rsidP="00344D11">
      <w:pPr>
        <w:pStyle w:val="Prrafodelista"/>
        <w:numPr>
          <w:ilvl w:val="0"/>
          <w:numId w:val="14"/>
        </w:numPr>
        <w:spacing w:line="240" w:lineRule="auto"/>
        <w:jc w:val="both"/>
        <w:rPr>
          <w:lang w:val="es-ES"/>
        </w:rPr>
      </w:pPr>
      <w:r w:rsidRPr="00344D11">
        <w:rPr>
          <w:lang w:val="es-ES"/>
        </w:rPr>
        <w:t>Proyecto de Permanencia</w:t>
      </w:r>
    </w:p>
    <w:p w:rsidR="00344D11" w:rsidRPr="00344D11" w:rsidRDefault="00344D11" w:rsidP="00344D11">
      <w:pPr>
        <w:pStyle w:val="Prrafodelista"/>
        <w:numPr>
          <w:ilvl w:val="0"/>
          <w:numId w:val="14"/>
        </w:numPr>
        <w:spacing w:line="240" w:lineRule="auto"/>
        <w:jc w:val="both"/>
        <w:rPr>
          <w:lang w:val="es-ES"/>
        </w:rPr>
      </w:pPr>
      <w:r w:rsidRPr="00344D11">
        <w:rPr>
          <w:lang w:val="es-ES"/>
        </w:rPr>
        <w:t>Proyecto de Bienestar</w:t>
      </w:r>
    </w:p>
    <w:p w:rsidR="00344D11" w:rsidRPr="00344D11" w:rsidRDefault="00344D11" w:rsidP="00344D11">
      <w:pPr>
        <w:spacing w:line="240" w:lineRule="auto"/>
        <w:ind w:left="708"/>
        <w:jc w:val="both"/>
        <w:rPr>
          <w:lang w:val="es-ES"/>
        </w:rPr>
      </w:pPr>
      <w:r w:rsidRPr="00344D11">
        <w:rPr>
          <w:lang w:val="es-ES"/>
        </w:rPr>
        <w:t xml:space="preserve">Cada uno de los proyectos tiene establecidas las fases y actividades que los mismos contemplan, los cuales están estructurados con vigencias de cumplimientos mayores a un año.  </w:t>
      </w:r>
    </w:p>
    <w:p w:rsidR="00344D11" w:rsidRPr="00344D11" w:rsidRDefault="00344D11" w:rsidP="00344D11">
      <w:pPr>
        <w:spacing w:line="240" w:lineRule="auto"/>
        <w:ind w:left="708"/>
        <w:jc w:val="both"/>
        <w:rPr>
          <w:lang w:val="es-ES"/>
        </w:rPr>
      </w:pPr>
      <w:r w:rsidRPr="00344D11">
        <w:rPr>
          <w:lang w:val="es-ES"/>
        </w:rPr>
        <w:t>A la fecha la ejecución total de recursos CREE (incluyendo los valores consignados por el Gobierno Nacional, los rendimientos financieros y la devolución de IVA) presenta un nivel de cumplimiento del 81% faltando por ejecutar un 19%, porcentaje que permitirá ejecutar las fases restantes de los proyectos en mención, así como las metas establecidas en los mismos.</w:t>
      </w:r>
    </w:p>
    <w:p w:rsidR="00344D11" w:rsidRPr="00344D11" w:rsidRDefault="00344D11" w:rsidP="00344D11">
      <w:pPr>
        <w:spacing w:line="240" w:lineRule="auto"/>
        <w:ind w:left="708"/>
        <w:jc w:val="both"/>
        <w:rPr>
          <w:lang w:val="es-ES"/>
        </w:rPr>
      </w:pPr>
      <w:r w:rsidRPr="00344D11">
        <w:rPr>
          <w:lang w:val="es-ES"/>
        </w:rPr>
        <w:t>De igual manera es de destacar que las asignaciones respetan los topes presupuestales debidamente autorizados por el MEN y el Consejo Directivo en años anteriores.</w:t>
      </w:r>
    </w:p>
    <w:p w:rsidR="00344D11" w:rsidRPr="00344D11" w:rsidRDefault="00344D11" w:rsidP="00344D11">
      <w:pPr>
        <w:spacing w:line="240" w:lineRule="auto"/>
        <w:ind w:left="708"/>
        <w:jc w:val="both"/>
        <w:rPr>
          <w:lang w:val="es-ES"/>
        </w:rPr>
      </w:pPr>
      <w:r w:rsidRPr="00344D11">
        <w:rPr>
          <w:lang w:val="es-ES"/>
        </w:rPr>
        <w:t xml:space="preserve">Los recursos de rendimientos financieros y devolución de IVA de Recursos CREE del año 2019, los cuales tiene un valor de $207.498.205 están siendo propuestos adicionar al Proyecto de Infraestructura física, para lo cual una vez la Asamblea apruebe la incorporación </w:t>
      </w:r>
      <w:r w:rsidRPr="00344D11">
        <w:rPr>
          <w:lang w:val="es-ES"/>
        </w:rPr>
        <w:lastRenderedPageBreak/>
        <w:t xml:space="preserve">se presentará la propuesta al MEN para su visto bueno y posterior aprobación por parte del Consejo Directivo.  </w:t>
      </w:r>
    </w:p>
    <w:p w:rsidR="00344D11" w:rsidRDefault="00344D11" w:rsidP="00344D11">
      <w:pPr>
        <w:spacing w:line="240" w:lineRule="auto"/>
        <w:ind w:left="708"/>
        <w:jc w:val="both"/>
        <w:rPr>
          <w:lang w:val="es-ES"/>
        </w:rPr>
      </w:pPr>
      <w:r w:rsidRPr="00344D11">
        <w:rPr>
          <w:lang w:val="es-ES"/>
        </w:rPr>
        <w:t>Los proyectos macros y las fichas de los proyectos elaborados con la metodología de PFC están debidamente detalladas y reposan en los archivos de la Oficina de Planeación de la Institución y en el área de Fomento a la Educación Superior del MEN</w:t>
      </w:r>
      <w:proofErr w:type="gramStart"/>
      <w:r w:rsidRPr="00344D11">
        <w:rPr>
          <w:lang w:val="es-ES"/>
        </w:rPr>
        <w:t>; ,</w:t>
      </w:r>
      <w:proofErr w:type="gramEnd"/>
      <w:r w:rsidRPr="00344D11">
        <w:rPr>
          <w:lang w:val="es-ES"/>
        </w:rPr>
        <w:t xml:space="preserve"> es de anotar que cada uno de los mismos serán ampliamente socializado en la próxima sesión del Consejo Directivo.</w:t>
      </w:r>
    </w:p>
    <w:p w:rsidR="00D87BC4" w:rsidRDefault="00D87BC4" w:rsidP="00344D11">
      <w:pPr>
        <w:pStyle w:val="Prrafodelista"/>
        <w:numPr>
          <w:ilvl w:val="1"/>
          <w:numId w:val="2"/>
        </w:numPr>
        <w:spacing w:line="240" w:lineRule="auto"/>
        <w:jc w:val="both"/>
        <w:rPr>
          <w:lang w:val="es-ES"/>
        </w:rPr>
      </w:pPr>
      <w:r>
        <w:rPr>
          <w:lang w:val="es-ES"/>
        </w:rPr>
        <w:t>Adición recursos del balance</w:t>
      </w:r>
      <w:r w:rsidR="006F14B8">
        <w:rPr>
          <w:lang w:val="es-ES"/>
        </w:rPr>
        <w:t>, fuente de financiación</w:t>
      </w:r>
      <w:r>
        <w:rPr>
          <w:lang w:val="es-ES"/>
        </w:rPr>
        <w:t xml:space="preserve"> recursos Planes de Fomento a la Calidad 2019, por un valor de MIL DOSCIENTOS VEINTISIETE MILLONES OCHOCIENTOS CUARENTA Y SIETE MIL DOSCIENTOS NOVENTA Y UN PESOS ($1.227.847.291).</w:t>
      </w:r>
    </w:p>
    <w:tbl>
      <w:tblPr>
        <w:tblW w:w="3438" w:type="dxa"/>
        <w:tblInd w:w="633" w:type="dxa"/>
        <w:tblCellMar>
          <w:left w:w="70" w:type="dxa"/>
          <w:right w:w="70" w:type="dxa"/>
        </w:tblCellMar>
        <w:tblLook w:val="04A0" w:firstRow="1" w:lastRow="0" w:firstColumn="1" w:lastColumn="0" w:noHBand="0" w:noVBand="1"/>
      </w:tblPr>
      <w:tblGrid>
        <w:gridCol w:w="2056"/>
        <w:gridCol w:w="1382"/>
      </w:tblGrid>
      <w:tr w:rsidR="008E2073" w:rsidRPr="001B6BC9" w:rsidTr="008E2073">
        <w:trPr>
          <w:trHeight w:val="210"/>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073" w:rsidRPr="00117964" w:rsidRDefault="008E2073" w:rsidP="001B6BC9">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DETALLE</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8E2073" w:rsidRPr="00117964" w:rsidRDefault="008E2073" w:rsidP="001B6BC9">
            <w:pPr>
              <w:spacing w:after="0" w:line="240" w:lineRule="auto"/>
              <w:jc w:val="center"/>
              <w:rPr>
                <w:rFonts w:ascii="Tahoma" w:eastAsia="Times New Roman" w:hAnsi="Tahoma" w:cs="Tahoma"/>
                <w:color w:val="000000"/>
                <w:sz w:val="16"/>
                <w:szCs w:val="16"/>
                <w:lang w:eastAsia="es-CO"/>
              </w:rPr>
            </w:pPr>
            <w:r>
              <w:rPr>
                <w:rFonts w:ascii="Tahoma" w:eastAsia="Times New Roman" w:hAnsi="Tahoma" w:cs="Tahoma"/>
                <w:color w:val="000000"/>
                <w:sz w:val="16"/>
                <w:szCs w:val="16"/>
                <w:lang w:eastAsia="es-CO"/>
              </w:rPr>
              <w:t>VALOR</w:t>
            </w:r>
          </w:p>
        </w:tc>
      </w:tr>
      <w:tr w:rsidR="008E2073" w:rsidRPr="001B6BC9" w:rsidTr="008E2073">
        <w:trPr>
          <w:trHeight w:val="210"/>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073" w:rsidRPr="001B6BC9" w:rsidRDefault="008E2073" w:rsidP="00877C19">
            <w:pPr>
              <w:spacing w:after="0" w:line="240" w:lineRule="auto"/>
              <w:rPr>
                <w:rFonts w:ascii="Tahoma" w:eastAsia="Times New Roman" w:hAnsi="Tahoma" w:cs="Tahoma"/>
                <w:color w:val="000000"/>
                <w:sz w:val="16"/>
                <w:szCs w:val="16"/>
                <w:lang w:eastAsia="es-CO"/>
              </w:rPr>
            </w:pPr>
            <w:r w:rsidRPr="001B6BC9">
              <w:rPr>
                <w:rFonts w:ascii="Tahoma" w:eastAsia="Times New Roman" w:hAnsi="Tahoma" w:cs="Tahoma"/>
                <w:color w:val="000000"/>
                <w:sz w:val="16"/>
                <w:szCs w:val="16"/>
                <w:lang w:eastAsia="es-CO"/>
              </w:rPr>
              <w:t xml:space="preserve">Infraestructura física y tecnológica                                                                                                                                                                   </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8E2073" w:rsidRPr="001B6BC9" w:rsidRDefault="008E2073" w:rsidP="00877C19">
            <w:pPr>
              <w:spacing w:after="0" w:line="240" w:lineRule="auto"/>
              <w:jc w:val="right"/>
              <w:rPr>
                <w:rFonts w:ascii="Tahoma" w:eastAsia="Times New Roman" w:hAnsi="Tahoma" w:cs="Tahoma"/>
                <w:color w:val="000000"/>
                <w:sz w:val="16"/>
                <w:szCs w:val="16"/>
                <w:lang w:eastAsia="es-CO"/>
              </w:rPr>
            </w:pPr>
            <w:r w:rsidRPr="001B6BC9">
              <w:rPr>
                <w:rFonts w:ascii="Tahoma" w:eastAsia="Times New Roman" w:hAnsi="Tahoma" w:cs="Tahoma"/>
                <w:color w:val="000000"/>
                <w:sz w:val="16"/>
                <w:szCs w:val="16"/>
                <w:lang w:eastAsia="es-CO"/>
              </w:rPr>
              <w:t xml:space="preserve">      380.586.704,00 </w:t>
            </w:r>
          </w:p>
        </w:tc>
      </w:tr>
      <w:tr w:rsidR="008E2073" w:rsidRPr="001B6BC9" w:rsidTr="008E2073">
        <w:trPr>
          <w:trHeight w:val="210"/>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8E2073" w:rsidRPr="001B6BC9" w:rsidRDefault="008E2073" w:rsidP="00877C19">
            <w:pPr>
              <w:spacing w:after="0" w:line="240" w:lineRule="auto"/>
              <w:rPr>
                <w:rFonts w:ascii="Tahoma" w:eastAsia="Times New Roman" w:hAnsi="Tahoma" w:cs="Tahoma"/>
                <w:color w:val="000000"/>
                <w:sz w:val="16"/>
                <w:szCs w:val="16"/>
                <w:lang w:eastAsia="es-CO"/>
              </w:rPr>
            </w:pPr>
            <w:r w:rsidRPr="001B6BC9">
              <w:rPr>
                <w:rFonts w:ascii="Tahoma" w:eastAsia="Times New Roman" w:hAnsi="Tahoma" w:cs="Tahoma"/>
                <w:color w:val="000000"/>
                <w:sz w:val="16"/>
                <w:szCs w:val="16"/>
                <w:lang w:eastAsia="es-CO"/>
              </w:rPr>
              <w:t xml:space="preserve">Cualificación docente                                                                                                                                                                                                                           </w:t>
            </w:r>
          </w:p>
        </w:tc>
        <w:tc>
          <w:tcPr>
            <w:tcW w:w="1382" w:type="dxa"/>
            <w:tcBorders>
              <w:top w:val="nil"/>
              <w:left w:val="nil"/>
              <w:bottom w:val="single" w:sz="4" w:space="0" w:color="auto"/>
              <w:right w:val="single" w:sz="4" w:space="0" w:color="auto"/>
            </w:tcBorders>
            <w:shd w:val="clear" w:color="auto" w:fill="auto"/>
            <w:noWrap/>
            <w:vAlign w:val="bottom"/>
            <w:hideMark/>
          </w:tcPr>
          <w:p w:rsidR="008E2073" w:rsidRPr="001B6BC9" w:rsidRDefault="008E2073" w:rsidP="00877C19">
            <w:pPr>
              <w:spacing w:after="0" w:line="240" w:lineRule="auto"/>
              <w:jc w:val="right"/>
              <w:rPr>
                <w:rFonts w:ascii="Tahoma" w:eastAsia="Times New Roman" w:hAnsi="Tahoma" w:cs="Tahoma"/>
                <w:color w:val="000000"/>
                <w:sz w:val="16"/>
                <w:szCs w:val="16"/>
                <w:lang w:eastAsia="es-CO"/>
              </w:rPr>
            </w:pPr>
            <w:r w:rsidRPr="001B6BC9">
              <w:rPr>
                <w:rFonts w:ascii="Tahoma" w:eastAsia="Times New Roman" w:hAnsi="Tahoma" w:cs="Tahoma"/>
                <w:color w:val="000000"/>
                <w:sz w:val="16"/>
                <w:szCs w:val="16"/>
                <w:lang w:eastAsia="es-CO"/>
              </w:rPr>
              <w:t xml:space="preserve">        61.120.000,00 </w:t>
            </w:r>
          </w:p>
        </w:tc>
      </w:tr>
      <w:tr w:rsidR="008E2073" w:rsidRPr="001B6BC9" w:rsidTr="008E2073">
        <w:trPr>
          <w:trHeight w:val="210"/>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8E2073" w:rsidRPr="001B6BC9" w:rsidRDefault="008E2073" w:rsidP="00877C19">
            <w:pPr>
              <w:spacing w:after="0" w:line="240" w:lineRule="auto"/>
              <w:rPr>
                <w:rFonts w:ascii="Tahoma" w:eastAsia="Times New Roman" w:hAnsi="Tahoma" w:cs="Tahoma"/>
                <w:color w:val="000000"/>
                <w:sz w:val="16"/>
                <w:szCs w:val="16"/>
                <w:lang w:eastAsia="es-CO"/>
              </w:rPr>
            </w:pPr>
            <w:r w:rsidRPr="001B6BC9">
              <w:rPr>
                <w:rFonts w:ascii="Tahoma" w:eastAsia="Times New Roman" w:hAnsi="Tahoma" w:cs="Tahoma"/>
                <w:color w:val="000000"/>
                <w:sz w:val="16"/>
                <w:szCs w:val="16"/>
                <w:lang w:eastAsia="es-CO"/>
              </w:rPr>
              <w:t xml:space="preserve">Permanencia y bienestar                                                                                                                                                                                                                         </w:t>
            </w:r>
          </w:p>
        </w:tc>
        <w:tc>
          <w:tcPr>
            <w:tcW w:w="1382" w:type="dxa"/>
            <w:tcBorders>
              <w:top w:val="nil"/>
              <w:left w:val="nil"/>
              <w:bottom w:val="single" w:sz="4" w:space="0" w:color="auto"/>
              <w:right w:val="single" w:sz="4" w:space="0" w:color="auto"/>
            </w:tcBorders>
            <w:shd w:val="clear" w:color="auto" w:fill="auto"/>
            <w:noWrap/>
            <w:vAlign w:val="bottom"/>
            <w:hideMark/>
          </w:tcPr>
          <w:p w:rsidR="008E2073" w:rsidRPr="001B6BC9" w:rsidRDefault="008E2073" w:rsidP="00877C19">
            <w:pPr>
              <w:spacing w:after="0" w:line="240" w:lineRule="auto"/>
              <w:jc w:val="right"/>
              <w:rPr>
                <w:rFonts w:ascii="Tahoma" w:eastAsia="Times New Roman" w:hAnsi="Tahoma" w:cs="Tahoma"/>
                <w:color w:val="000000"/>
                <w:sz w:val="16"/>
                <w:szCs w:val="16"/>
                <w:lang w:eastAsia="es-CO"/>
              </w:rPr>
            </w:pPr>
            <w:r w:rsidRPr="001B6BC9">
              <w:rPr>
                <w:rFonts w:ascii="Tahoma" w:eastAsia="Times New Roman" w:hAnsi="Tahoma" w:cs="Tahoma"/>
                <w:color w:val="000000"/>
                <w:sz w:val="16"/>
                <w:szCs w:val="16"/>
                <w:lang w:eastAsia="es-CO"/>
              </w:rPr>
              <w:t xml:space="preserve">      120.260.085,00 </w:t>
            </w:r>
          </w:p>
        </w:tc>
      </w:tr>
      <w:tr w:rsidR="008E2073" w:rsidRPr="001B6BC9" w:rsidTr="008E2073">
        <w:trPr>
          <w:trHeight w:val="210"/>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8E2073" w:rsidRPr="001B6BC9" w:rsidRDefault="008E2073" w:rsidP="00877C19">
            <w:pPr>
              <w:spacing w:after="0" w:line="240" w:lineRule="auto"/>
              <w:rPr>
                <w:rFonts w:ascii="Tahoma" w:eastAsia="Times New Roman" w:hAnsi="Tahoma" w:cs="Tahoma"/>
                <w:color w:val="000000"/>
                <w:sz w:val="16"/>
                <w:szCs w:val="16"/>
                <w:lang w:eastAsia="es-CO"/>
              </w:rPr>
            </w:pPr>
            <w:r w:rsidRPr="001B6BC9">
              <w:rPr>
                <w:rFonts w:ascii="Tahoma" w:eastAsia="Times New Roman" w:hAnsi="Tahoma" w:cs="Tahoma"/>
                <w:color w:val="000000"/>
                <w:sz w:val="16"/>
                <w:szCs w:val="16"/>
                <w:lang w:eastAsia="es-CO"/>
              </w:rPr>
              <w:t xml:space="preserve">Regionalización y ruralidad                                                                                                                                                                                                                     </w:t>
            </w:r>
          </w:p>
        </w:tc>
        <w:tc>
          <w:tcPr>
            <w:tcW w:w="1382" w:type="dxa"/>
            <w:tcBorders>
              <w:top w:val="nil"/>
              <w:left w:val="nil"/>
              <w:bottom w:val="single" w:sz="4" w:space="0" w:color="auto"/>
              <w:right w:val="single" w:sz="4" w:space="0" w:color="auto"/>
            </w:tcBorders>
            <w:shd w:val="clear" w:color="auto" w:fill="auto"/>
            <w:noWrap/>
            <w:vAlign w:val="bottom"/>
            <w:hideMark/>
          </w:tcPr>
          <w:p w:rsidR="008E2073" w:rsidRPr="001B6BC9" w:rsidRDefault="008E2073" w:rsidP="00877C19">
            <w:pPr>
              <w:spacing w:after="0" w:line="240" w:lineRule="auto"/>
              <w:jc w:val="right"/>
              <w:rPr>
                <w:rFonts w:ascii="Tahoma" w:eastAsia="Times New Roman" w:hAnsi="Tahoma" w:cs="Tahoma"/>
                <w:color w:val="000000"/>
                <w:sz w:val="16"/>
                <w:szCs w:val="16"/>
                <w:lang w:eastAsia="es-CO"/>
              </w:rPr>
            </w:pPr>
            <w:r w:rsidRPr="001B6BC9">
              <w:rPr>
                <w:rFonts w:ascii="Tahoma" w:eastAsia="Times New Roman" w:hAnsi="Tahoma" w:cs="Tahoma"/>
                <w:color w:val="000000"/>
                <w:sz w:val="16"/>
                <w:szCs w:val="16"/>
                <w:lang w:eastAsia="es-CO"/>
              </w:rPr>
              <w:t xml:space="preserve">      334.049.935,00 </w:t>
            </w:r>
          </w:p>
        </w:tc>
      </w:tr>
      <w:tr w:rsidR="008E2073" w:rsidRPr="001B6BC9" w:rsidTr="008E2073">
        <w:trPr>
          <w:trHeight w:val="210"/>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8E2073" w:rsidRPr="001B6BC9" w:rsidRDefault="008E2073" w:rsidP="00877C19">
            <w:pPr>
              <w:spacing w:after="0" w:line="240" w:lineRule="auto"/>
              <w:rPr>
                <w:rFonts w:ascii="Tahoma" w:eastAsia="Times New Roman" w:hAnsi="Tahoma" w:cs="Tahoma"/>
                <w:color w:val="000000"/>
                <w:sz w:val="16"/>
                <w:szCs w:val="16"/>
                <w:lang w:eastAsia="es-CO"/>
              </w:rPr>
            </w:pPr>
            <w:r w:rsidRPr="001B6BC9">
              <w:rPr>
                <w:rFonts w:ascii="Tahoma" w:eastAsia="Times New Roman" w:hAnsi="Tahoma" w:cs="Tahoma"/>
                <w:color w:val="000000"/>
                <w:sz w:val="16"/>
                <w:szCs w:val="16"/>
                <w:lang w:eastAsia="es-CO"/>
              </w:rPr>
              <w:t xml:space="preserve">Proyectos de investigación IES CINOC                                                                                                                                                                                                            </w:t>
            </w:r>
          </w:p>
        </w:tc>
        <w:tc>
          <w:tcPr>
            <w:tcW w:w="1382" w:type="dxa"/>
            <w:tcBorders>
              <w:top w:val="nil"/>
              <w:left w:val="nil"/>
              <w:bottom w:val="single" w:sz="4" w:space="0" w:color="auto"/>
              <w:right w:val="single" w:sz="4" w:space="0" w:color="auto"/>
            </w:tcBorders>
            <w:shd w:val="clear" w:color="auto" w:fill="auto"/>
            <w:noWrap/>
            <w:vAlign w:val="bottom"/>
            <w:hideMark/>
          </w:tcPr>
          <w:p w:rsidR="008E2073" w:rsidRPr="001B6BC9" w:rsidRDefault="008E2073" w:rsidP="00877C19">
            <w:pPr>
              <w:spacing w:after="0" w:line="240" w:lineRule="auto"/>
              <w:jc w:val="right"/>
              <w:rPr>
                <w:rFonts w:ascii="Tahoma" w:eastAsia="Times New Roman" w:hAnsi="Tahoma" w:cs="Tahoma"/>
                <w:color w:val="000000"/>
                <w:sz w:val="16"/>
                <w:szCs w:val="16"/>
                <w:lang w:eastAsia="es-CO"/>
              </w:rPr>
            </w:pPr>
            <w:r w:rsidRPr="001B6BC9">
              <w:rPr>
                <w:rFonts w:ascii="Tahoma" w:eastAsia="Times New Roman" w:hAnsi="Tahoma" w:cs="Tahoma"/>
                <w:color w:val="000000"/>
                <w:sz w:val="16"/>
                <w:szCs w:val="16"/>
                <w:lang w:eastAsia="es-CO"/>
              </w:rPr>
              <w:t xml:space="preserve">      331.830.567,00 </w:t>
            </w:r>
          </w:p>
        </w:tc>
      </w:tr>
      <w:tr w:rsidR="008E2073" w:rsidRPr="001B6BC9" w:rsidTr="008E2073">
        <w:trPr>
          <w:trHeight w:val="210"/>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8E2073" w:rsidRPr="001B6BC9" w:rsidRDefault="008E2073" w:rsidP="00877C19">
            <w:pPr>
              <w:spacing w:after="0" w:line="240" w:lineRule="auto"/>
              <w:rPr>
                <w:rFonts w:ascii="Tahoma" w:eastAsia="Times New Roman" w:hAnsi="Tahoma" w:cs="Tahoma"/>
                <w:color w:val="000000"/>
                <w:sz w:val="16"/>
                <w:szCs w:val="16"/>
                <w:lang w:eastAsia="es-CO"/>
              </w:rPr>
            </w:pPr>
            <w:r w:rsidRPr="001B6BC9">
              <w:rPr>
                <w:rFonts w:ascii="Tahoma" w:eastAsia="Times New Roman" w:hAnsi="Tahoma" w:cs="Tahoma"/>
                <w:color w:val="000000"/>
                <w:sz w:val="16"/>
                <w:szCs w:val="16"/>
                <w:lang w:eastAsia="es-CO"/>
              </w:rPr>
              <w:t>TOTAL</w:t>
            </w:r>
          </w:p>
        </w:tc>
        <w:tc>
          <w:tcPr>
            <w:tcW w:w="1382" w:type="dxa"/>
            <w:tcBorders>
              <w:top w:val="nil"/>
              <w:left w:val="nil"/>
              <w:bottom w:val="single" w:sz="4" w:space="0" w:color="auto"/>
              <w:right w:val="single" w:sz="4" w:space="0" w:color="auto"/>
            </w:tcBorders>
            <w:shd w:val="clear" w:color="auto" w:fill="auto"/>
            <w:noWrap/>
            <w:vAlign w:val="bottom"/>
            <w:hideMark/>
          </w:tcPr>
          <w:p w:rsidR="008E2073" w:rsidRPr="001B6BC9" w:rsidRDefault="008E2073" w:rsidP="00877C19">
            <w:pPr>
              <w:spacing w:after="0" w:line="240" w:lineRule="auto"/>
              <w:jc w:val="right"/>
              <w:rPr>
                <w:rFonts w:ascii="Tahoma" w:eastAsia="Times New Roman" w:hAnsi="Tahoma" w:cs="Tahoma"/>
                <w:color w:val="000000"/>
                <w:sz w:val="16"/>
                <w:szCs w:val="16"/>
                <w:lang w:eastAsia="es-CO"/>
              </w:rPr>
            </w:pPr>
            <w:r w:rsidRPr="001B6BC9">
              <w:rPr>
                <w:rFonts w:ascii="Tahoma" w:eastAsia="Times New Roman" w:hAnsi="Tahoma" w:cs="Tahoma"/>
                <w:color w:val="000000"/>
                <w:sz w:val="16"/>
                <w:szCs w:val="16"/>
                <w:lang w:eastAsia="es-CO"/>
              </w:rPr>
              <w:t xml:space="preserve">  1.227.847.291,00 </w:t>
            </w:r>
          </w:p>
        </w:tc>
      </w:tr>
    </w:tbl>
    <w:p w:rsidR="001B6BC9" w:rsidRDefault="001B6BC9" w:rsidP="001B6BC9">
      <w:pPr>
        <w:spacing w:line="240" w:lineRule="auto"/>
        <w:jc w:val="both"/>
        <w:rPr>
          <w:lang w:val="es-ES"/>
        </w:rPr>
      </w:pPr>
    </w:p>
    <w:p w:rsidR="00344D11" w:rsidRPr="00344D11" w:rsidRDefault="00344D11" w:rsidP="00344D11">
      <w:pPr>
        <w:spacing w:line="240" w:lineRule="auto"/>
        <w:ind w:left="708"/>
        <w:jc w:val="both"/>
        <w:rPr>
          <w:lang w:val="es-ES"/>
        </w:rPr>
      </w:pPr>
      <w:r w:rsidRPr="00344D11">
        <w:rPr>
          <w:lang w:val="es-ES"/>
        </w:rPr>
        <w:t>Durante el año 2019 se elaboraron con el apoyo del Ministerio de Educación Nacional los Planes de Fomento a la Calidad 2019, los cuales fueron aprobados por el Consejo Directivo de la Entidad.  Este Plan está siendo financiado tanto con recursos de PFC como con recursos de Pasivos Laborales, recursos dados por el MEN a las IES en cumplimiento de los Acuerdos firmados con los Estudiantes durante el año 2018 y de lo establecido en el Plan de Desarrollo Nacional 2018-2022.</w:t>
      </w:r>
    </w:p>
    <w:p w:rsidR="00344D11" w:rsidRPr="00344D11" w:rsidRDefault="00344D11" w:rsidP="00344D11">
      <w:pPr>
        <w:spacing w:line="240" w:lineRule="auto"/>
        <w:ind w:left="708"/>
        <w:jc w:val="both"/>
        <w:rPr>
          <w:lang w:val="es-ES"/>
        </w:rPr>
      </w:pPr>
      <w:r w:rsidRPr="00344D11">
        <w:rPr>
          <w:lang w:val="es-ES"/>
        </w:rPr>
        <w:t>Los recursos fueron consignados por parte del MEN durante los meses de agosto y septiembre del año 2019 para lo cual la Institución inicio todos los trámites de incorporación ante la Asamblea Departamental y posteriormente ante el Consejo Directivo.  Producto de este trámite se logró iniciar la ejecución de los primeros recursos consignados por el MEN ($668.827.348) en el mes de noviembre, pero no se alcanzó a ejecutar la totalidad de los mismos al igual que los recursos provenientes del segundo desembolso ($866.395.320) los cuales fueron incorporados por la Asamblea Departamental y el Consejo Directivo de la Entidad en el mes de diciembre del año 2019.</w:t>
      </w:r>
    </w:p>
    <w:p w:rsidR="00344D11" w:rsidRPr="00344D11" w:rsidRDefault="00344D11" w:rsidP="00344D11">
      <w:pPr>
        <w:spacing w:line="240" w:lineRule="auto"/>
        <w:ind w:left="708"/>
        <w:jc w:val="both"/>
        <w:rPr>
          <w:lang w:val="es-ES"/>
        </w:rPr>
      </w:pPr>
      <w:r w:rsidRPr="00344D11">
        <w:rPr>
          <w:lang w:val="es-ES"/>
        </w:rPr>
        <w:t>Es así como los recursos que se están adicionando permitirán cumplir con los compromisos establecidos en cada una de las fichas de los proyectos que conforman el PFC 2019 así:</w:t>
      </w:r>
    </w:p>
    <w:p w:rsidR="00344D11" w:rsidRPr="00344D11" w:rsidRDefault="00344D11" w:rsidP="00344D11">
      <w:pPr>
        <w:pStyle w:val="Prrafodelista"/>
        <w:numPr>
          <w:ilvl w:val="0"/>
          <w:numId w:val="14"/>
        </w:numPr>
        <w:spacing w:line="240" w:lineRule="auto"/>
        <w:jc w:val="both"/>
        <w:rPr>
          <w:lang w:val="es-ES"/>
        </w:rPr>
      </w:pPr>
      <w:r w:rsidRPr="00344D11">
        <w:rPr>
          <w:lang w:val="es-ES"/>
        </w:rPr>
        <w:t>Proyecto de Bienestar y Permanencia</w:t>
      </w:r>
    </w:p>
    <w:p w:rsidR="00344D11" w:rsidRPr="00344D11" w:rsidRDefault="00344D11" w:rsidP="00344D11">
      <w:pPr>
        <w:pStyle w:val="Prrafodelista"/>
        <w:numPr>
          <w:ilvl w:val="0"/>
          <w:numId w:val="14"/>
        </w:numPr>
        <w:spacing w:line="240" w:lineRule="auto"/>
        <w:jc w:val="both"/>
        <w:rPr>
          <w:lang w:val="es-ES"/>
        </w:rPr>
      </w:pPr>
      <w:r w:rsidRPr="00344D11">
        <w:rPr>
          <w:lang w:val="es-ES"/>
        </w:rPr>
        <w:t>Proyecto de Regionalización y Ruralidad</w:t>
      </w:r>
    </w:p>
    <w:p w:rsidR="00344D11" w:rsidRPr="00344D11" w:rsidRDefault="00344D11" w:rsidP="00344D11">
      <w:pPr>
        <w:pStyle w:val="Prrafodelista"/>
        <w:numPr>
          <w:ilvl w:val="0"/>
          <w:numId w:val="14"/>
        </w:numPr>
        <w:spacing w:line="240" w:lineRule="auto"/>
        <w:jc w:val="both"/>
        <w:rPr>
          <w:lang w:val="es-ES"/>
        </w:rPr>
      </w:pPr>
      <w:r w:rsidRPr="00344D11">
        <w:rPr>
          <w:lang w:val="es-ES"/>
        </w:rPr>
        <w:t xml:space="preserve">Proyecto de Investigación </w:t>
      </w:r>
    </w:p>
    <w:p w:rsidR="00344D11" w:rsidRPr="00344D11" w:rsidRDefault="00344D11" w:rsidP="00344D11">
      <w:pPr>
        <w:pStyle w:val="Prrafodelista"/>
        <w:numPr>
          <w:ilvl w:val="0"/>
          <w:numId w:val="14"/>
        </w:numPr>
        <w:spacing w:line="240" w:lineRule="auto"/>
        <w:jc w:val="both"/>
        <w:rPr>
          <w:lang w:val="es-ES"/>
        </w:rPr>
      </w:pPr>
      <w:r w:rsidRPr="00344D11">
        <w:rPr>
          <w:lang w:val="es-ES"/>
        </w:rPr>
        <w:t>Proyecto de Infraestructura Física y Tecnológica</w:t>
      </w:r>
    </w:p>
    <w:p w:rsidR="00344D11" w:rsidRPr="00344D11" w:rsidRDefault="00344D11" w:rsidP="00344D11">
      <w:pPr>
        <w:spacing w:line="240" w:lineRule="auto"/>
        <w:ind w:left="708" w:firstLine="2"/>
        <w:jc w:val="both"/>
        <w:rPr>
          <w:lang w:val="es-ES"/>
        </w:rPr>
      </w:pPr>
      <w:r w:rsidRPr="00344D11">
        <w:rPr>
          <w:lang w:val="es-ES"/>
        </w:rPr>
        <w:t xml:space="preserve">Los recursos de rendimientos financieros de Recursos PFC del año 2019, los cuales tiene un valor de $3.290.934 están siendo propuestos adicionar al Proyecto de Regionalización y </w:t>
      </w:r>
      <w:r w:rsidRPr="00344D11">
        <w:rPr>
          <w:lang w:val="es-ES"/>
        </w:rPr>
        <w:lastRenderedPageBreak/>
        <w:t>Ruralidad, para lo cual una vez la Asamblea apruebe la incorporación se presentará la propuesta al MEN para su visto bueno y posterior aprobación por parte del Consejo Directivo</w:t>
      </w:r>
    </w:p>
    <w:p w:rsidR="00344D11" w:rsidRPr="00344D11" w:rsidRDefault="00344D11" w:rsidP="00344D11">
      <w:pPr>
        <w:spacing w:line="240" w:lineRule="auto"/>
        <w:ind w:left="708"/>
        <w:jc w:val="both"/>
        <w:rPr>
          <w:lang w:val="es-ES"/>
        </w:rPr>
      </w:pPr>
      <w:r w:rsidRPr="00344D11">
        <w:rPr>
          <w:lang w:val="es-ES"/>
        </w:rPr>
        <w:t>Las fichas de los proyectos elaborados con la metodología de PFC están debidamente detalladas y reposan en los archivos de la Oficina de Planeación de la Institución y en el área de Fomento a la Educación Superior del MEN; es de anotar que cada uno de los mismos serán ampliamente socializado en la próxima sesión del Consejo Directivo.</w:t>
      </w:r>
    </w:p>
    <w:p w:rsidR="001B6BC9" w:rsidRDefault="00C157DF" w:rsidP="001B6BC9">
      <w:pPr>
        <w:spacing w:line="240" w:lineRule="auto"/>
        <w:jc w:val="both"/>
        <w:rPr>
          <w:lang w:val="es-ES"/>
        </w:rPr>
      </w:pPr>
      <w:r>
        <w:rPr>
          <w:lang w:val="es-ES"/>
        </w:rPr>
        <w:t xml:space="preserve">Cualquier inquietud </w:t>
      </w:r>
      <w:r w:rsidR="00A6715A">
        <w:rPr>
          <w:lang w:val="es-ES"/>
        </w:rPr>
        <w:t>estaré</w:t>
      </w:r>
      <w:r>
        <w:rPr>
          <w:lang w:val="es-ES"/>
        </w:rPr>
        <w:t xml:space="preserve"> atento a resolverla</w:t>
      </w:r>
    </w:p>
    <w:p w:rsidR="00C157DF" w:rsidRDefault="00C157DF" w:rsidP="001B6BC9">
      <w:pPr>
        <w:spacing w:line="240" w:lineRule="auto"/>
        <w:jc w:val="both"/>
        <w:rPr>
          <w:lang w:val="es-ES"/>
        </w:rPr>
      </w:pPr>
      <w:r>
        <w:rPr>
          <w:lang w:val="es-ES"/>
        </w:rPr>
        <w:t>Cordialmente</w:t>
      </w:r>
    </w:p>
    <w:p w:rsidR="00C157DF" w:rsidRDefault="00C157DF" w:rsidP="001B6BC9">
      <w:pPr>
        <w:spacing w:line="240" w:lineRule="auto"/>
        <w:jc w:val="both"/>
        <w:rPr>
          <w:lang w:val="es-ES"/>
        </w:rPr>
      </w:pPr>
    </w:p>
    <w:p w:rsidR="00C157DF" w:rsidRPr="00C80B8F" w:rsidRDefault="00C80B8F" w:rsidP="001B6BC9">
      <w:pPr>
        <w:spacing w:line="240" w:lineRule="auto"/>
        <w:jc w:val="both"/>
        <w:rPr>
          <w:rFonts w:ascii="Brush Script MT" w:hAnsi="Brush Script MT"/>
          <w:u w:val="single"/>
          <w:lang w:val="es-ES"/>
        </w:rPr>
      </w:pPr>
      <w:r w:rsidRPr="00C80B8F">
        <w:rPr>
          <w:rFonts w:ascii="Brush Script MT" w:hAnsi="Brush Script MT"/>
          <w:u w:val="single"/>
          <w:lang w:val="es-ES"/>
        </w:rPr>
        <w:t>Original Firmado por:</w:t>
      </w:r>
    </w:p>
    <w:p w:rsidR="00C157DF" w:rsidRDefault="00C157DF" w:rsidP="001B6BC9">
      <w:pPr>
        <w:spacing w:line="240" w:lineRule="auto"/>
        <w:jc w:val="both"/>
        <w:rPr>
          <w:lang w:val="es-ES"/>
        </w:rPr>
      </w:pPr>
      <w:r>
        <w:rPr>
          <w:lang w:val="es-ES"/>
        </w:rPr>
        <w:t xml:space="preserve">Libaniel de </w:t>
      </w:r>
      <w:r w:rsidR="00700BF6">
        <w:rPr>
          <w:lang w:val="es-ES"/>
        </w:rPr>
        <w:t>Jesús</w:t>
      </w:r>
      <w:r>
        <w:rPr>
          <w:lang w:val="es-ES"/>
        </w:rPr>
        <w:t xml:space="preserve"> </w:t>
      </w:r>
      <w:r w:rsidR="00700BF6">
        <w:rPr>
          <w:lang w:val="es-ES"/>
        </w:rPr>
        <w:t>Gómez</w:t>
      </w:r>
      <w:r>
        <w:rPr>
          <w:lang w:val="es-ES"/>
        </w:rPr>
        <w:t xml:space="preserve"> </w:t>
      </w:r>
      <w:r w:rsidR="00700BF6">
        <w:rPr>
          <w:lang w:val="es-ES"/>
        </w:rPr>
        <w:t>Ramírez</w:t>
      </w:r>
    </w:p>
    <w:p w:rsidR="00C157DF" w:rsidRDefault="00C157DF" w:rsidP="001B6BC9">
      <w:pPr>
        <w:spacing w:line="240" w:lineRule="auto"/>
        <w:jc w:val="both"/>
        <w:rPr>
          <w:lang w:val="es-ES"/>
        </w:rPr>
      </w:pPr>
      <w:r>
        <w:rPr>
          <w:lang w:val="es-ES"/>
        </w:rPr>
        <w:t>Jefe Administrativo y Financiero ( e )</w:t>
      </w:r>
    </w:p>
    <w:p w:rsidR="004A68D1" w:rsidRDefault="004A68D1">
      <w:pPr>
        <w:rPr>
          <w:b/>
          <w:u w:val="single"/>
          <w:lang w:val="es-ES"/>
        </w:rPr>
      </w:pPr>
      <w:r>
        <w:rPr>
          <w:b/>
          <w:u w:val="single"/>
          <w:lang w:val="es-ES"/>
        </w:rPr>
        <w:br w:type="page"/>
      </w:r>
    </w:p>
    <w:p w:rsidR="00F24464" w:rsidRPr="00327A94" w:rsidRDefault="00F24464" w:rsidP="00F24464">
      <w:pPr>
        <w:pStyle w:val="Prrafodelista"/>
        <w:spacing w:line="240" w:lineRule="auto"/>
        <w:ind w:left="0"/>
        <w:jc w:val="both"/>
        <w:rPr>
          <w:b/>
          <w:u w:val="single"/>
          <w:lang w:val="es-ES"/>
        </w:rPr>
      </w:pPr>
      <w:r w:rsidRPr="00327A94">
        <w:rPr>
          <w:b/>
          <w:u w:val="single"/>
          <w:lang w:val="es-ES"/>
        </w:rPr>
        <w:lastRenderedPageBreak/>
        <w:t xml:space="preserve">Anexo </w:t>
      </w:r>
      <w:r>
        <w:rPr>
          <w:b/>
          <w:u w:val="single"/>
          <w:lang w:val="es-ES"/>
        </w:rPr>
        <w:t>1</w:t>
      </w:r>
    </w:p>
    <w:tbl>
      <w:tblPr>
        <w:tblW w:w="6794" w:type="dxa"/>
        <w:tblCellMar>
          <w:left w:w="70" w:type="dxa"/>
          <w:right w:w="70" w:type="dxa"/>
        </w:tblCellMar>
        <w:tblLook w:val="04A0" w:firstRow="1" w:lastRow="0" w:firstColumn="1" w:lastColumn="0" w:noHBand="0" w:noVBand="1"/>
      </w:tblPr>
      <w:tblGrid>
        <w:gridCol w:w="4440"/>
        <w:gridCol w:w="2354"/>
      </w:tblGrid>
      <w:tr w:rsidR="00F24464" w:rsidRPr="00F24464" w:rsidTr="00F24464">
        <w:trPr>
          <w:trHeight w:val="300"/>
        </w:trPr>
        <w:tc>
          <w:tcPr>
            <w:tcW w:w="444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24464" w:rsidRPr="00F24464" w:rsidRDefault="00F24464" w:rsidP="00F24464">
            <w:pPr>
              <w:spacing w:after="0" w:line="240" w:lineRule="auto"/>
              <w:jc w:val="center"/>
              <w:rPr>
                <w:rFonts w:ascii="Calibri" w:eastAsia="Times New Roman" w:hAnsi="Calibri" w:cs="Calibri"/>
                <w:b/>
                <w:bCs/>
                <w:color w:val="000000"/>
                <w:lang w:eastAsia="es-CO"/>
              </w:rPr>
            </w:pPr>
            <w:r w:rsidRPr="00F24464">
              <w:rPr>
                <w:rFonts w:ascii="Calibri" w:eastAsia="Times New Roman" w:hAnsi="Calibri" w:cs="Calibri"/>
                <w:b/>
                <w:bCs/>
                <w:color w:val="000000"/>
                <w:lang w:eastAsia="es-CO"/>
              </w:rPr>
              <w:t>ACTIVIDAD</w:t>
            </w:r>
          </w:p>
        </w:tc>
        <w:tc>
          <w:tcPr>
            <w:tcW w:w="235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24464" w:rsidRPr="00F24464" w:rsidRDefault="00F24464" w:rsidP="00F24464">
            <w:pPr>
              <w:spacing w:after="0" w:line="240" w:lineRule="auto"/>
              <w:jc w:val="center"/>
              <w:rPr>
                <w:rFonts w:ascii="Calibri" w:eastAsia="Times New Roman" w:hAnsi="Calibri" w:cs="Calibri"/>
                <w:b/>
                <w:bCs/>
                <w:color w:val="000000"/>
                <w:lang w:eastAsia="es-CO"/>
              </w:rPr>
            </w:pPr>
            <w:r w:rsidRPr="00F24464">
              <w:rPr>
                <w:rFonts w:ascii="Calibri" w:eastAsia="Times New Roman" w:hAnsi="Calibri" w:cs="Calibri"/>
                <w:b/>
                <w:bCs/>
                <w:color w:val="000000"/>
                <w:lang w:eastAsia="es-CO"/>
              </w:rPr>
              <w:t>PRESUPUESTO</w:t>
            </w:r>
          </w:p>
        </w:tc>
      </w:tr>
      <w:tr w:rsidR="00F24464" w:rsidRPr="00F24464" w:rsidTr="00F24464">
        <w:trPr>
          <w:trHeight w:val="315"/>
        </w:trPr>
        <w:tc>
          <w:tcPr>
            <w:tcW w:w="4440" w:type="dxa"/>
            <w:vMerge/>
            <w:tcBorders>
              <w:top w:val="single" w:sz="8" w:space="0" w:color="auto"/>
              <w:left w:val="single" w:sz="8" w:space="0" w:color="auto"/>
              <w:bottom w:val="single" w:sz="8" w:space="0" w:color="000000"/>
              <w:right w:val="nil"/>
            </w:tcBorders>
            <w:vAlign w:val="center"/>
            <w:hideMark/>
          </w:tcPr>
          <w:p w:rsidR="00F24464" w:rsidRPr="00F24464" w:rsidRDefault="00F24464" w:rsidP="00F24464">
            <w:pPr>
              <w:spacing w:after="0" w:line="240" w:lineRule="auto"/>
              <w:rPr>
                <w:rFonts w:ascii="Calibri" w:eastAsia="Times New Roman" w:hAnsi="Calibri" w:cs="Calibri"/>
                <w:b/>
                <w:bCs/>
                <w:color w:val="000000"/>
                <w:lang w:eastAsia="es-CO"/>
              </w:rPr>
            </w:pPr>
          </w:p>
        </w:tc>
        <w:tc>
          <w:tcPr>
            <w:tcW w:w="2354" w:type="dxa"/>
            <w:vMerge/>
            <w:tcBorders>
              <w:top w:val="single" w:sz="8" w:space="0" w:color="auto"/>
              <w:left w:val="single" w:sz="8" w:space="0" w:color="auto"/>
              <w:bottom w:val="single" w:sz="8" w:space="0" w:color="000000"/>
              <w:right w:val="single" w:sz="8" w:space="0" w:color="auto"/>
            </w:tcBorders>
            <w:vAlign w:val="center"/>
            <w:hideMark/>
          </w:tcPr>
          <w:p w:rsidR="00F24464" w:rsidRPr="00F24464" w:rsidRDefault="00F24464" w:rsidP="00F24464">
            <w:pPr>
              <w:spacing w:after="0" w:line="240" w:lineRule="auto"/>
              <w:rPr>
                <w:rFonts w:ascii="Calibri" w:eastAsia="Times New Roman" w:hAnsi="Calibri" w:cs="Calibri"/>
                <w:b/>
                <w:bCs/>
                <w:color w:val="000000"/>
                <w:lang w:eastAsia="es-CO"/>
              </w:rPr>
            </w:pPr>
          </w:p>
        </w:tc>
      </w:tr>
      <w:tr w:rsidR="00F24464" w:rsidRPr="00F24464" w:rsidTr="00F24464">
        <w:trPr>
          <w:trHeight w:val="600"/>
        </w:trPr>
        <w:tc>
          <w:tcPr>
            <w:tcW w:w="4440" w:type="dxa"/>
            <w:tcBorders>
              <w:top w:val="single" w:sz="4" w:space="0" w:color="auto"/>
              <w:left w:val="single" w:sz="8" w:space="0" w:color="auto"/>
              <w:bottom w:val="single" w:sz="4" w:space="0" w:color="auto"/>
              <w:right w:val="nil"/>
            </w:tcBorders>
            <w:shd w:val="clear" w:color="auto" w:fill="auto"/>
            <w:vAlign w:val="bottom"/>
            <w:hideMark/>
          </w:tcPr>
          <w:p w:rsidR="00F24464" w:rsidRPr="00F24464" w:rsidRDefault="00F24464" w:rsidP="00A82041">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Promoción, Publicidad y Divulgación de Actividades (</w:t>
            </w:r>
            <w:r w:rsidR="00A82041" w:rsidRPr="00F24464">
              <w:rPr>
                <w:rFonts w:ascii="Calibri" w:eastAsia="Times New Roman" w:hAnsi="Calibri" w:cs="Calibri"/>
                <w:color w:val="000000"/>
                <w:lang w:eastAsia="es-CO"/>
              </w:rPr>
              <w:t>visibiliza</w:t>
            </w:r>
            <w:r w:rsidR="00A82041">
              <w:rPr>
                <w:rFonts w:ascii="Calibri" w:eastAsia="Times New Roman" w:hAnsi="Calibri" w:cs="Calibri"/>
                <w:color w:val="000000"/>
                <w:lang w:eastAsia="es-CO"/>
              </w:rPr>
              <w:t>ción</w:t>
            </w:r>
            <w:r w:rsidRPr="00F24464">
              <w:rPr>
                <w:rFonts w:ascii="Calibri" w:eastAsia="Times New Roman" w:hAnsi="Calibri" w:cs="Calibri"/>
                <w:color w:val="000000"/>
                <w:lang w:eastAsia="es-CO"/>
              </w:rPr>
              <w:t xml:space="preserve"> prensa)</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1.000.000 </w:t>
            </w:r>
          </w:p>
        </w:tc>
      </w:tr>
      <w:tr w:rsidR="00F24464" w:rsidRPr="00F24464" w:rsidTr="00F24464">
        <w:trPr>
          <w:trHeight w:val="300"/>
        </w:trPr>
        <w:tc>
          <w:tcPr>
            <w:tcW w:w="4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4464" w:rsidRPr="00F24464" w:rsidRDefault="00F24464" w:rsidP="00F24464">
            <w:pPr>
              <w:spacing w:after="0" w:line="240" w:lineRule="auto"/>
              <w:rPr>
                <w:rFonts w:ascii="Calibri" w:eastAsia="Times New Roman" w:hAnsi="Calibri" w:cs="Calibri"/>
                <w:lang w:eastAsia="es-CO"/>
              </w:rPr>
            </w:pPr>
            <w:r w:rsidRPr="00F24464">
              <w:rPr>
                <w:rFonts w:ascii="Calibri" w:eastAsia="Times New Roman" w:hAnsi="Calibri" w:cs="Calibri"/>
                <w:lang w:eastAsia="es-CO"/>
              </w:rPr>
              <w:t>Taller Patentes y derechos de autor</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500.000 </w:t>
            </w:r>
          </w:p>
        </w:tc>
      </w:tr>
      <w:tr w:rsidR="00F24464" w:rsidRPr="00F24464" w:rsidTr="00F24464">
        <w:trPr>
          <w:trHeight w:val="300"/>
        </w:trPr>
        <w:tc>
          <w:tcPr>
            <w:tcW w:w="4440" w:type="dxa"/>
            <w:tcBorders>
              <w:top w:val="nil"/>
              <w:left w:val="single" w:sz="8" w:space="0" w:color="auto"/>
              <w:bottom w:val="single" w:sz="4" w:space="0" w:color="auto"/>
              <w:right w:val="single" w:sz="4" w:space="0" w:color="auto"/>
            </w:tcBorders>
            <w:shd w:val="clear" w:color="auto" w:fill="auto"/>
            <w:vAlign w:val="center"/>
            <w:hideMark/>
          </w:tcPr>
          <w:p w:rsidR="00F24464" w:rsidRPr="00F24464" w:rsidRDefault="00F24464" w:rsidP="00F24464">
            <w:pPr>
              <w:spacing w:after="0" w:line="240" w:lineRule="auto"/>
              <w:rPr>
                <w:rFonts w:ascii="Calibri" w:eastAsia="Times New Roman" w:hAnsi="Calibri" w:cs="Calibri"/>
                <w:lang w:eastAsia="es-CO"/>
              </w:rPr>
            </w:pPr>
            <w:r w:rsidRPr="00F24464">
              <w:rPr>
                <w:rFonts w:ascii="Calibri" w:eastAsia="Times New Roman" w:hAnsi="Calibri" w:cs="Calibri"/>
                <w:lang w:eastAsia="es-CO"/>
              </w:rPr>
              <w:t>Taller Manzanares Responsabilidad Social</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1.000.000 </w:t>
            </w:r>
          </w:p>
        </w:tc>
      </w:tr>
      <w:tr w:rsidR="00F24464" w:rsidRPr="00F24464" w:rsidTr="00F24464">
        <w:trPr>
          <w:trHeight w:val="30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Tercer Seminario Pensilvania Emprende</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3.000.000 </w:t>
            </w:r>
          </w:p>
        </w:tc>
      </w:tr>
      <w:tr w:rsidR="00F24464" w:rsidRPr="00F24464" w:rsidTr="00F24464">
        <w:trPr>
          <w:trHeight w:val="600"/>
        </w:trPr>
        <w:tc>
          <w:tcPr>
            <w:tcW w:w="4440" w:type="dxa"/>
            <w:tcBorders>
              <w:top w:val="single" w:sz="4" w:space="0" w:color="auto"/>
              <w:left w:val="single" w:sz="8" w:space="0" w:color="auto"/>
              <w:bottom w:val="single" w:sz="4" w:space="0" w:color="auto"/>
              <w:right w:val="nil"/>
            </w:tcBorders>
            <w:shd w:val="clear" w:color="auto" w:fill="auto"/>
            <w:vAlign w:val="bottom"/>
            <w:hideMark/>
          </w:tcPr>
          <w:p w:rsidR="00F24464" w:rsidRPr="00F24464" w:rsidRDefault="00F24464" w:rsidP="00F24464">
            <w:pPr>
              <w:spacing w:after="0" w:line="240" w:lineRule="auto"/>
              <w:rPr>
                <w:rFonts w:ascii="Calibri" w:eastAsia="Times New Roman" w:hAnsi="Calibri" w:cs="Calibri"/>
                <w:lang w:eastAsia="es-CO"/>
              </w:rPr>
            </w:pPr>
            <w:r w:rsidRPr="00F24464">
              <w:rPr>
                <w:rFonts w:ascii="Calibri" w:eastAsia="Times New Roman" w:hAnsi="Calibri" w:cs="Calibri"/>
                <w:lang w:eastAsia="es-CO"/>
              </w:rPr>
              <w:t xml:space="preserve">Generación de alianzas y convenios interinstitucionales </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5.000.000 </w:t>
            </w:r>
          </w:p>
        </w:tc>
      </w:tr>
      <w:tr w:rsidR="00F24464" w:rsidRPr="00F24464" w:rsidTr="00F24464">
        <w:trPr>
          <w:trHeight w:val="600"/>
        </w:trPr>
        <w:tc>
          <w:tcPr>
            <w:tcW w:w="4440" w:type="dxa"/>
            <w:tcBorders>
              <w:top w:val="nil"/>
              <w:left w:val="single" w:sz="8" w:space="0" w:color="auto"/>
              <w:bottom w:val="single" w:sz="4" w:space="0" w:color="auto"/>
              <w:right w:val="nil"/>
            </w:tcBorders>
            <w:shd w:val="clear" w:color="auto" w:fill="auto"/>
            <w:vAlign w:val="bottom"/>
            <w:hideMark/>
          </w:tcPr>
          <w:p w:rsidR="00F24464" w:rsidRPr="00F24464" w:rsidRDefault="00F24464" w:rsidP="00F24464">
            <w:pPr>
              <w:spacing w:after="0" w:line="240" w:lineRule="auto"/>
              <w:rPr>
                <w:rFonts w:ascii="Calibri" w:eastAsia="Times New Roman" w:hAnsi="Calibri" w:cs="Calibri"/>
                <w:lang w:eastAsia="es-CO"/>
              </w:rPr>
            </w:pPr>
            <w:r w:rsidRPr="00F24464">
              <w:rPr>
                <w:rFonts w:ascii="Calibri" w:eastAsia="Times New Roman" w:hAnsi="Calibri" w:cs="Calibri"/>
                <w:lang w:eastAsia="es-CO"/>
              </w:rPr>
              <w:t>Diseño y Construcción Fichas inscripción Proyectos Proyección Social IES - CINOC</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 </w:t>
            </w:r>
          </w:p>
        </w:tc>
      </w:tr>
      <w:tr w:rsidR="00F24464" w:rsidRPr="00F24464" w:rsidTr="00F24464">
        <w:trPr>
          <w:trHeight w:val="300"/>
        </w:trPr>
        <w:tc>
          <w:tcPr>
            <w:tcW w:w="4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24464" w:rsidRPr="00F24464" w:rsidRDefault="00F24464" w:rsidP="00F24464">
            <w:pPr>
              <w:spacing w:after="0" w:line="240" w:lineRule="auto"/>
              <w:rPr>
                <w:rFonts w:ascii="Calibri" w:eastAsia="Times New Roman" w:hAnsi="Calibri" w:cs="Calibri"/>
                <w:lang w:eastAsia="es-CO"/>
              </w:rPr>
            </w:pPr>
            <w:r w:rsidRPr="00F24464">
              <w:rPr>
                <w:rFonts w:ascii="Calibri" w:eastAsia="Times New Roman" w:hAnsi="Calibri" w:cs="Calibri"/>
                <w:lang w:eastAsia="es-CO"/>
              </w:rPr>
              <w:t>Taller Marquetalia Responsabilidad Social</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1.000.000 </w:t>
            </w:r>
          </w:p>
        </w:tc>
      </w:tr>
      <w:tr w:rsidR="00F24464" w:rsidRPr="00F24464" w:rsidTr="00F24464">
        <w:trPr>
          <w:trHeight w:val="300"/>
        </w:trPr>
        <w:tc>
          <w:tcPr>
            <w:tcW w:w="4440" w:type="dxa"/>
            <w:tcBorders>
              <w:top w:val="nil"/>
              <w:left w:val="single" w:sz="8" w:space="0" w:color="auto"/>
              <w:bottom w:val="single" w:sz="4" w:space="0" w:color="auto"/>
              <w:right w:val="single" w:sz="4" w:space="0" w:color="auto"/>
            </w:tcBorders>
            <w:shd w:val="clear" w:color="auto" w:fill="auto"/>
            <w:vAlign w:val="center"/>
            <w:hideMark/>
          </w:tcPr>
          <w:p w:rsidR="00F24464" w:rsidRPr="00F24464" w:rsidRDefault="00F24464" w:rsidP="00F24464">
            <w:pPr>
              <w:spacing w:after="0" w:line="240" w:lineRule="auto"/>
              <w:rPr>
                <w:rFonts w:ascii="Calibri" w:eastAsia="Times New Roman" w:hAnsi="Calibri" w:cs="Calibri"/>
                <w:lang w:eastAsia="es-CO"/>
              </w:rPr>
            </w:pPr>
            <w:r w:rsidRPr="00F24464">
              <w:rPr>
                <w:rFonts w:ascii="Calibri" w:eastAsia="Times New Roman" w:hAnsi="Calibri" w:cs="Calibri"/>
                <w:lang w:eastAsia="es-CO"/>
              </w:rPr>
              <w:t>Gestión y alimentación Portal de empleo</w:t>
            </w:r>
          </w:p>
        </w:tc>
        <w:tc>
          <w:tcPr>
            <w:tcW w:w="2354" w:type="dxa"/>
            <w:tcBorders>
              <w:top w:val="nil"/>
              <w:left w:val="single" w:sz="8" w:space="0" w:color="auto"/>
              <w:bottom w:val="single" w:sz="4" w:space="0" w:color="auto"/>
              <w:right w:val="single" w:sz="8" w:space="0" w:color="auto"/>
            </w:tcBorders>
            <w:shd w:val="clear" w:color="000000" w:fill="DCE6F1"/>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1.000.000 </w:t>
            </w:r>
          </w:p>
        </w:tc>
      </w:tr>
      <w:tr w:rsidR="00F24464" w:rsidRPr="00F24464" w:rsidTr="00F24464">
        <w:trPr>
          <w:trHeight w:val="300"/>
        </w:trPr>
        <w:tc>
          <w:tcPr>
            <w:tcW w:w="4440" w:type="dxa"/>
            <w:tcBorders>
              <w:top w:val="single" w:sz="4" w:space="0" w:color="auto"/>
              <w:left w:val="single" w:sz="8" w:space="0" w:color="auto"/>
              <w:bottom w:val="single" w:sz="4" w:space="0" w:color="auto"/>
              <w:right w:val="nil"/>
            </w:tcBorders>
            <w:shd w:val="clear" w:color="auto" w:fill="auto"/>
            <w:vAlign w:val="center"/>
            <w:hideMark/>
          </w:tcPr>
          <w:p w:rsidR="00F24464" w:rsidRPr="00F24464" w:rsidRDefault="00F24464" w:rsidP="00F24464">
            <w:pPr>
              <w:spacing w:after="0" w:line="240" w:lineRule="auto"/>
              <w:rPr>
                <w:rFonts w:ascii="Calibri" w:eastAsia="Times New Roman" w:hAnsi="Calibri" w:cs="Calibri"/>
                <w:lang w:eastAsia="es-CO"/>
              </w:rPr>
            </w:pPr>
            <w:r w:rsidRPr="00F24464">
              <w:rPr>
                <w:rFonts w:ascii="Calibri" w:eastAsia="Times New Roman" w:hAnsi="Calibri" w:cs="Calibri"/>
                <w:lang w:eastAsia="es-CO"/>
              </w:rPr>
              <w:t>Atención en Consultorio Social</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jc w:val="center"/>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500.000 </w:t>
            </w:r>
          </w:p>
        </w:tc>
      </w:tr>
      <w:tr w:rsidR="00F24464" w:rsidRPr="00F24464" w:rsidTr="00F24464">
        <w:trPr>
          <w:trHeight w:val="300"/>
        </w:trPr>
        <w:tc>
          <w:tcPr>
            <w:tcW w:w="4440" w:type="dxa"/>
            <w:tcBorders>
              <w:top w:val="nil"/>
              <w:left w:val="single" w:sz="8" w:space="0" w:color="auto"/>
              <w:bottom w:val="single" w:sz="4" w:space="0" w:color="auto"/>
              <w:right w:val="nil"/>
            </w:tcBorders>
            <w:shd w:val="clear" w:color="auto" w:fill="auto"/>
            <w:vAlign w:val="bottom"/>
            <w:hideMark/>
          </w:tcPr>
          <w:p w:rsidR="00F24464" w:rsidRPr="00F24464" w:rsidRDefault="00F24464" w:rsidP="00F24464">
            <w:pPr>
              <w:spacing w:after="0" w:line="240" w:lineRule="auto"/>
              <w:rPr>
                <w:rFonts w:ascii="Calibri" w:eastAsia="Times New Roman" w:hAnsi="Calibri" w:cs="Calibri"/>
                <w:lang w:eastAsia="es-CO"/>
              </w:rPr>
            </w:pPr>
            <w:r w:rsidRPr="00F24464">
              <w:rPr>
                <w:rFonts w:ascii="Calibri" w:eastAsia="Times New Roman" w:hAnsi="Calibri" w:cs="Calibri"/>
                <w:lang w:eastAsia="es-CO"/>
              </w:rPr>
              <w:t>Reuniones Asociación Egresados</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jc w:val="center"/>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1.500.000 </w:t>
            </w:r>
          </w:p>
        </w:tc>
      </w:tr>
      <w:tr w:rsidR="00F24464" w:rsidRPr="00F24464" w:rsidTr="00F24464">
        <w:trPr>
          <w:trHeight w:val="300"/>
        </w:trPr>
        <w:tc>
          <w:tcPr>
            <w:tcW w:w="4440" w:type="dxa"/>
            <w:tcBorders>
              <w:top w:val="nil"/>
              <w:left w:val="single" w:sz="8" w:space="0" w:color="auto"/>
              <w:bottom w:val="single" w:sz="4" w:space="0" w:color="auto"/>
              <w:right w:val="nil"/>
            </w:tcBorders>
            <w:shd w:val="clear" w:color="auto" w:fill="auto"/>
            <w:vAlign w:val="bottom"/>
            <w:hideMark/>
          </w:tcPr>
          <w:p w:rsidR="00F24464" w:rsidRPr="00F24464" w:rsidRDefault="00F24464" w:rsidP="00F24464">
            <w:pPr>
              <w:spacing w:after="0" w:line="240" w:lineRule="auto"/>
              <w:rPr>
                <w:rFonts w:ascii="Calibri" w:eastAsia="Times New Roman" w:hAnsi="Calibri" w:cs="Calibri"/>
                <w:lang w:eastAsia="es-CO"/>
              </w:rPr>
            </w:pPr>
            <w:r w:rsidRPr="00F24464">
              <w:rPr>
                <w:rFonts w:ascii="Calibri" w:eastAsia="Times New Roman" w:hAnsi="Calibri" w:cs="Calibri"/>
                <w:lang w:eastAsia="es-CO"/>
              </w:rPr>
              <w:t>Días de campo en la granja</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1.000.000 </w:t>
            </w:r>
          </w:p>
        </w:tc>
      </w:tr>
      <w:tr w:rsidR="00F24464" w:rsidRPr="00F24464" w:rsidTr="00F24464">
        <w:trPr>
          <w:trHeight w:val="600"/>
        </w:trPr>
        <w:tc>
          <w:tcPr>
            <w:tcW w:w="4440" w:type="dxa"/>
            <w:tcBorders>
              <w:top w:val="nil"/>
              <w:left w:val="single" w:sz="8" w:space="0" w:color="auto"/>
              <w:bottom w:val="single" w:sz="4" w:space="0" w:color="auto"/>
              <w:right w:val="nil"/>
            </w:tcBorders>
            <w:shd w:val="clear" w:color="auto" w:fill="auto"/>
            <w:vAlign w:val="bottom"/>
            <w:hideMark/>
          </w:tcPr>
          <w:p w:rsidR="00F24464" w:rsidRPr="00F24464" w:rsidRDefault="00F24464" w:rsidP="00F24464">
            <w:pPr>
              <w:spacing w:after="0" w:line="240" w:lineRule="auto"/>
              <w:rPr>
                <w:rFonts w:ascii="Calibri" w:eastAsia="Times New Roman" w:hAnsi="Calibri" w:cs="Calibri"/>
                <w:lang w:eastAsia="es-CO"/>
              </w:rPr>
            </w:pPr>
            <w:r w:rsidRPr="00F24464">
              <w:rPr>
                <w:rFonts w:ascii="Calibri" w:eastAsia="Times New Roman" w:hAnsi="Calibri" w:cs="Calibri"/>
                <w:lang w:eastAsia="es-CO"/>
              </w:rPr>
              <w:t>Aplicación de Transversalidad de la Proyección Social en la IES CINOC</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jc w:val="center"/>
              <w:rPr>
                <w:rFonts w:ascii="Calibri" w:eastAsia="Times New Roman" w:hAnsi="Calibri" w:cs="Calibri"/>
                <w:color w:val="000000"/>
                <w:lang w:eastAsia="es-CO"/>
              </w:rPr>
            </w:pPr>
            <w:r w:rsidRPr="00F24464">
              <w:rPr>
                <w:rFonts w:ascii="Calibri" w:eastAsia="Times New Roman" w:hAnsi="Calibri" w:cs="Calibri"/>
                <w:color w:val="000000"/>
                <w:lang w:eastAsia="es-CO"/>
              </w:rPr>
              <w:t> </w:t>
            </w:r>
          </w:p>
        </w:tc>
      </w:tr>
      <w:tr w:rsidR="00F24464" w:rsidRPr="00F24464" w:rsidTr="00F24464">
        <w:trPr>
          <w:trHeight w:val="600"/>
        </w:trPr>
        <w:tc>
          <w:tcPr>
            <w:tcW w:w="4440" w:type="dxa"/>
            <w:tcBorders>
              <w:top w:val="nil"/>
              <w:left w:val="single" w:sz="8" w:space="0" w:color="auto"/>
              <w:bottom w:val="single" w:sz="4" w:space="0" w:color="auto"/>
              <w:right w:val="nil"/>
            </w:tcBorders>
            <w:shd w:val="clear" w:color="auto" w:fill="auto"/>
            <w:vAlign w:val="bottom"/>
            <w:hideMark/>
          </w:tcPr>
          <w:p w:rsidR="00F24464" w:rsidRPr="00F24464" w:rsidRDefault="00F24464" w:rsidP="00F24464">
            <w:pPr>
              <w:spacing w:after="0" w:line="240" w:lineRule="auto"/>
              <w:rPr>
                <w:rFonts w:ascii="Calibri" w:eastAsia="Times New Roman" w:hAnsi="Calibri" w:cs="Calibri"/>
                <w:lang w:eastAsia="es-CO"/>
              </w:rPr>
            </w:pPr>
            <w:r w:rsidRPr="00F24464">
              <w:rPr>
                <w:rFonts w:ascii="Calibri" w:eastAsia="Times New Roman" w:hAnsi="Calibri" w:cs="Calibri"/>
                <w:lang w:eastAsia="es-CO"/>
              </w:rPr>
              <w:t xml:space="preserve">Generación Archivo documental y Base de datos. </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jc w:val="center"/>
              <w:rPr>
                <w:rFonts w:ascii="Calibri" w:eastAsia="Times New Roman" w:hAnsi="Calibri" w:cs="Calibri"/>
                <w:color w:val="000000"/>
                <w:lang w:eastAsia="es-CO"/>
              </w:rPr>
            </w:pPr>
            <w:r w:rsidRPr="00F24464">
              <w:rPr>
                <w:rFonts w:ascii="Calibri" w:eastAsia="Times New Roman" w:hAnsi="Calibri" w:cs="Calibri"/>
                <w:color w:val="000000"/>
                <w:lang w:eastAsia="es-CO"/>
              </w:rPr>
              <w:t> </w:t>
            </w:r>
          </w:p>
        </w:tc>
      </w:tr>
      <w:tr w:rsidR="00F24464" w:rsidRPr="00F24464" w:rsidTr="00F24464">
        <w:trPr>
          <w:trHeight w:val="480"/>
        </w:trPr>
        <w:tc>
          <w:tcPr>
            <w:tcW w:w="4440" w:type="dxa"/>
            <w:tcBorders>
              <w:top w:val="nil"/>
              <w:left w:val="single" w:sz="8" w:space="0" w:color="auto"/>
              <w:bottom w:val="nil"/>
              <w:right w:val="nil"/>
            </w:tcBorders>
            <w:shd w:val="clear" w:color="auto" w:fill="auto"/>
            <w:vAlign w:val="bottom"/>
            <w:hideMark/>
          </w:tcPr>
          <w:p w:rsidR="00F24464" w:rsidRPr="00F24464" w:rsidRDefault="00F24464" w:rsidP="00F24464">
            <w:pPr>
              <w:spacing w:after="0" w:line="240" w:lineRule="auto"/>
              <w:rPr>
                <w:rFonts w:ascii="Verdana" w:eastAsia="Times New Roman" w:hAnsi="Verdana" w:cs="Calibri"/>
                <w:sz w:val="18"/>
                <w:szCs w:val="18"/>
                <w:lang w:eastAsia="es-CO"/>
              </w:rPr>
            </w:pPr>
            <w:r w:rsidRPr="00F24464">
              <w:rPr>
                <w:rFonts w:ascii="Verdana" w:eastAsia="Times New Roman" w:hAnsi="Verdana" w:cs="Calibri"/>
                <w:sz w:val="18"/>
                <w:szCs w:val="18"/>
                <w:lang w:eastAsia="es-CO"/>
              </w:rPr>
              <w:t>Implementación del Plan para el Apoyo a la inserción laboral.</w:t>
            </w:r>
          </w:p>
        </w:tc>
        <w:tc>
          <w:tcPr>
            <w:tcW w:w="2354" w:type="dxa"/>
            <w:tcBorders>
              <w:top w:val="nil"/>
              <w:left w:val="single" w:sz="8" w:space="0" w:color="auto"/>
              <w:bottom w:val="single" w:sz="4" w:space="0" w:color="auto"/>
              <w:right w:val="single" w:sz="8" w:space="0" w:color="auto"/>
            </w:tcBorders>
            <w:shd w:val="clear" w:color="000000" w:fill="DCE6F1"/>
            <w:noWrap/>
            <w:vAlign w:val="bottom"/>
            <w:hideMark/>
          </w:tcPr>
          <w:p w:rsidR="00F24464" w:rsidRPr="00F24464" w:rsidRDefault="00F24464" w:rsidP="00F24464">
            <w:pPr>
              <w:spacing w:after="0" w:line="240" w:lineRule="auto"/>
              <w:jc w:val="center"/>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1.000.000 </w:t>
            </w:r>
          </w:p>
        </w:tc>
      </w:tr>
      <w:tr w:rsidR="00F24464" w:rsidRPr="00F24464" w:rsidTr="00F24464">
        <w:trPr>
          <w:trHeight w:val="300"/>
        </w:trPr>
        <w:tc>
          <w:tcPr>
            <w:tcW w:w="4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24464" w:rsidRPr="00F24464" w:rsidRDefault="00F24464" w:rsidP="00F24464">
            <w:pPr>
              <w:spacing w:after="0" w:line="240" w:lineRule="auto"/>
              <w:rPr>
                <w:rFonts w:ascii="Calibri" w:eastAsia="Times New Roman" w:hAnsi="Calibri" w:cs="Calibri"/>
                <w:lang w:eastAsia="es-CO"/>
              </w:rPr>
            </w:pPr>
            <w:r w:rsidRPr="00F24464">
              <w:rPr>
                <w:rFonts w:ascii="Calibri" w:eastAsia="Times New Roman" w:hAnsi="Calibri" w:cs="Calibri"/>
                <w:lang w:eastAsia="es-CO"/>
              </w:rPr>
              <w:t>Taller Pensilvania Responsabilidad Social</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jc w:val="center"/>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500.000 </w:t>
            </w:r>
          </w:p>
        </w:tc>
      </w:tr>
      <w:tr w:rsidR="00F24464" w:rsidRPr="00F24464" w:rsidTr="00F24464">
        <w:trPr>
          <w:trHeight w:val="615"/>
        </w:trPr>
        <w:tc>
          <w:tcPr>
            <w:tcW w:w="4440" w:type="dxa"/>
            <w:tcBorders>
              <w:top w:val="single" w:sz="4" w:space="0" w:color="auto"/>
              <w:left w:val="single" w:sz="8" w:space="0" w:color="auto"/>
              <w:bottom w:val="single" w:sz="8" w:space="0" w:color="auto"/>
              <w:right w:val="nil"/>
            </w:tcBorders>
            <w:shd w:val="clear" w:color="auto" w:fill="auto"/>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Desarrollo de diplomados, cursos y capacitaciones</w:t>
            </w:r>
          </w:p>
        </w:tc>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F24464" w:rsidRPr="00F24464" w:rsidRDefault="00F24464" w:rsidP="00F24464">
            <w:pPr>
              <w:spacing w:after="0" w:line="240" w:lineRule="auto"/>
              <w:jc w:val="center"/>
              <w:rPr>
                <w:rFonts w:ascii="Calibri" w:eastAsia="Times New Roman" w:hAnsi="Calibri" w:cs="Calibri"/>
                <w:color w:val="000000"/>
                <w:lang w:eastAsia="es-CO"/>
              </w:rPr>
            </w:pPr>
            <w:r w:rsidRPr="00F24464">
              <w:rPr>
                <w:rFonts w:ascii="Calibri" w:eastAsia="Times New Roman" w:hAnsi="Calibri" w:cs="Calibri"/>
                <w:color w:val="000000"/>
                <w:lang w:eastAsia="es-CO"/>
              </w:rPr>
              <w:t xml:space="preserve"> $                     4.000.000 </w:t>
            </w:r>
          </w:p>
        </w:tc>
      </w:tr>
      <w:tr w:rsidR="00F24464" w:rsidRPr="00F24464" w:rsidTr="00F24464">
        <w:trPr>
          <w:trHeight w:val="315"/>
        </w:trPr>
        <w:tc>
          <w:tcPr>
            <w:tcW w:w="4440" w:type="dxa"/>
            <w:tcBorders>
              <w:top w:val="nil"/>
              <w:left w:val="single" w:sz="8" w:space="0" w:color="auto"/>
              <w:bottom w:val="single" w:sz="8" w:space="0" w:color="auto"/>
              <w:right w:val="single" w:sz="8" w:space="0" w:color="auto"/>
            </w:tcBorders>
            <w:shd w:val="clear" w:color="auto" w:fill="auto"/>
            <w:vAlign w:val="bottom"/>
            <w:hideMark/>
          </w:tcPr>
          <w:p w:rsidR="00F24464" w:rsidRPr="00F24464" w:rsidRDefault="00F24464" w:rsidP="00F24464">
            <w:pPr>
              <w:spacing w:after="0" w:line="240" w:lineRule="auto"/>
              <w:jc w:val="center"/>
              <w:rPr>
                <w:rFonts w:ascii="Calibri" w:eastAsia="Times New Roman" w:hAnsi="Calibri" w:cs="Calibri"/>
                <w:b/>
                <w:bCs/>
                <w:color w:val="000000"/>
                <w:lang w:eastAsia="es-CO"/>
              </w:rPr>
            </w:pPr>
            <w:r w:rsidRPr="00F24464">
              <w:rPr>
                <w:rFonts w:ascii="Calibri" w:eastAsia="Times New Roman" w:hAnsi="Calibri" w:cs="Calibri"/>
                <w:b/>
                <w:bCs/>
                <w:color w:val="000000"/>
                <w:lang w:eastAsia="es-CO"/>
              </w:rPr>
              <w:t>TOTAL</w:t>
            </w:r>
          </w:p>
        </w:tc>
        <w:tc>
          <w:tcPr>
            <w:tcW w:w="2354" w:type="dxa"/>
            <w:tcBorders>
              <w:top w:val="single" w:sz="8" w:space="0" w:color="auto"/>
              <w:left w:val="nil"/>
              <w:bottom w:val="single" w:sz="8" w:space="0" w:color="auto"/>
              <w:right w:val="single" w:sz="8" w:space="0" w:color="auto"/>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b/>
                <w:bCs/>
                <w:color w:val="000000"/>
                <w:lang w:eastAsia="es-CO"/>
              </w:rPr>
            </w:pPr>
            <w:r w:rsidRPr="00F24464">
              <w:rPr>
                <w:rFonts w:ascii="Calibri" w:eastAsia="Times New Roman" w:hAnsi="Calibri" w:cs="Calibri"/>
                <w:b/>
                <w:bCs/>
                <w:color w:val="000000"/>
                <w:lang w:eastAsia="es-CO"/>
              </w:rPr>
              <w:t xml:space="preserve"> $                   21.000.000 </w:t>
            </w:r>
          </w:p>
        </w:tc>
      </w:tr>
      <w:tr w:rsidR="00F24464" w:rsidRPr="00F24464" w:rsidTr="00F24464">
        <w:trPr>
          <w:trHeight w:val="300"/>
        </w:trPr>
        <w:tc>
          <w:tcPr>
            <w:tcW w:w="4440" w:type="dxa"/>
            <w:tcBorders>
              <w:top w:val="nil"/>
              <w:left w:val="nil"/>
              <w:bottom w:val="nil"/>
              <w:right w:val="nil"/>
            </w:tcBorders>
            <w:shd w:val="clear" w:color="auto" w:fill="auto"/>
            <w:noWrap/>
            <w:vAlign w:val="bottom"/>
            <w:hideMark/>
          </w:tcPr>
          <w:p w:rsidR="00F24464" w:rsidRPr="00F24464" w:rsidRDefault="00F24464" w:rsidP="00F24464">
            <w:pPr>
              <w:spacing w:after="0" w:line="240" w:lineRule="auto"/>
              <w:rPr>
                <w:rFonts w:ascii="Times New Roman" w:eastAsia="Times New Roman" w:hAnsi="Times New Roman" w:cs="Times New Roman"/>
                <w:sz w:val="20"/>
                <w:szCs w:val="20"/>
                <w:lang w:eastAsia="es-CO"/>
              </w:rPr>
            </w:pPr>
          </w:p>
        </w:tc>
        <w:tc>
          <w:tcPr>
            <w:tcW w:w="2354" w:type="dxa"/>
            <w:tcBorders>
              <w:top w:val="nil"/>
              <w:left w:val="nil"/>
              <w:bottom w:val="nil"/>
              <w:right w:val="nil"/>
            </w:tcBorders>
            <w:shd w:val="clear" w:color="auto" w:fill="auto"/>
            <w:noWrap/>
            <w:vAlign w:val="bottom"/>
            <w:hideMark/>
          </w:tcPr>
          <w:p w:rsidR="00F24464" w:rsidRPr="00F24464" w:rsidRDefault="00F24464" w:rsidP="00F24464">
            <w:pPr>
              <w:spacing w:after="0" w:line="240" w:lineRule="auto"/>
              <w:rPr>
                <w:rFonts w:ascii="Times New Roman" w:eastAsia="Times New Roman" w:hAnsi="Times New Roman" w:cs="Times New Roman"/>
                <w:sz w:val="20"/>
                <w:szCs w:val="20"/>
                <w:lang w:eastAsia="es-CO"/>
              </w:rPr>
            </w:pPr>
          </w:p>
        </w:tc>
      </w:tr>
      <w:tr w:rsidR="00F24464" w:rsidRPr="00F24464" w:rsidTr="00F24464">
        <w:trPr>
          <w:trHeight w:val="300"/>
        </w:trPr>
        <w:tc>
          <w:tcPr>
            <w:tcW w:w="4440" w:type="dxa"/>
            <w:tcBorders>
              <w:top w:val="nil"/>
              <w:left w:val="nil"/>
              <w:bottom w:val="nil"/>
              <w:right w:val="nil"/>
            </w:tcBorders>
            <w:shd w:val="clear" w:color="auto" w:fill="auto"/>
            <w:vAlign w:val="bottom"/>
            <w:hideMark/>
          </w:tcPr>
          <w:p w:rsidR="00F24464" w:rsidRPr="00F24464" w:rsidRDefault="00F24464" w:rsidP="00F24464">
            <w:pPr>
              <w:spacing w:after="0" w:line="240" w:lineRule="auto"/>
              <w:rPr>
                <w:rFonts w:ascii="Calibri" w:eastAsia="Times New Roman" w:hAnsi="Calibri" w:cs="Calibri"/>
                <w:b/>
                <w:bCs/>
                <w:color w:val="000000"/>
                <w:lang w:eastAsia="es-CO"/>
              </w:rPr>
            </w:pPr>
            <w:r w:rsidRPr="00F24464">
              <w:rPr>
                <w:rFonts w:ascii="Calibri" w:eastAsia="Times New Roman" w:hAnsi="Calibri" w:cs="Calibri"/>
                <w:b/>
                <w:bCs/>
                <w:color w:val="000000"/>
                <w:lang w:eastAsia="es-CO"/>
              </w:rPr>
              <w:t>DAVID RICARDO HENAO GIRALDO</w:t>
            </w:r>
          </w:p>
        </w:tc>
        <w:tc>
          <w:tcPr>
            <w:tcW w:w="2354" w:type="dxa"/>
            <w:tcBorders>
              <w:top w:val="nil"/>
              <w:left w:val="nil"/>
              <w:bottom w:val="nil"/>
              <w:right w:val="nil"/>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b/>
                <w:bCs/>
                <w:color w:val="000000"/>
                <w:lang w:eastAsia="es-CO"/>
              </w:rPr>
            </w:pPr>
          </w:p>
        </w:tc>
      </w:tr>
      <w:tr w:rsidR="00F24464" w:rsidRPr="00F24464" w:rsidTr="00F24464">
        <w:trPr>
          <w:trHeight w:val="300"/>
        </w:trPr>
        <w:tc>
          <w:tcPr>
            <w:tcW w:w="6794" w:type="dxa"/>
            <w:gridSpan w:val="2"/>
            <w:tcBorders>
              <w:top w:val="nil"/>
              <w:left w:val="nil"/>
              <w:bottom w:val="nil"/>
              <w:right w:val="nil"/>
            </w:tcBorders>
            <w:shd w:val="clear" w:color="auto" w:fill="auto"/>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Docente Coordinador Proyección Social y Emprendimiento</w:t>
            </w:r>
          </w:p>
        </w:tc>
      </w:tr>
      <w:tr w:rsidR="00F24464" w:rsidRPr="00F24464" w:rsidTr="00F24464">
        <w:trPr>
          <w:trHeight w:val="300"/>
        </w:trPr>
        <w:tc>
          <w:tcPr>
            <w:tcW w:w="4440" w:type="dxa"/>
            <w:tcBorders>
              <w:top w:val="nil"/>
              <w:left w:val="nil"/>
              <w:bottom w:val="nil"/>
              <w:right w:val="nil"/>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IES - CINOC</w:t>
            </w:r>
          </w:p>
        </w:tc>
        <w:tc>
          <w:tcPr>
            <w:tcW w:w="2354" w:type="dxa"/>
            <w:tcBorders>
              <w:top w:val="nil"/>
              <w:left w:val="nil"/>
              <w:bottom w:val="nil"/>
              <w:right w:val="nil"/>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p>
        </w:tc>
      </w:tr>
      <w:tr w:rsidR="00F24464" w:rsidRPr="00F24464" w:rsidTr="00F24464">
        <w:trPr>
          <w:trHeight w:val="300"/>
        </w:trPr>
        <w:tc>
          <w:tcPr>
            <w:tcW w:w="4440" w:type="dxa"/>
            <w:tcBorders>
              <w:top w:val="nil"/>
              <w:left w:val="nil"/>
              <w:bottom w:val="nil"/>
              <w:right w:val="nil"/>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r w:rsidRPr="00F24464">
              <w:rPr>
                <w:rFonts w:ascii="Calibri" w:eastAsia="Times New Roman" w:hAnsi="Calibri" w:cs="Calibri"/>
                <w:color w:val="000000"/>
                <w:lang w:eastAsia="es-CO"/>
              </w:rPr>
              <w:t>Pensilvania - Caldas</w:t>
            </w:r>
          </w:p>
        </w:tc>
        <w:tc>
          <w:tcPr>
            <w:tcW w:w="2354" w:type="dxa"/>
            <w:tcBorders>
              <w:top w:val="nil"/>
              <w:left w:val="nil"/>
              <w:bottom w:val="nil"/>
              <w:right w:val="nil"/>
            </w:tcBorders>
            <w:shd w:val="clear" w:color="auto" w:fill="auto"/>
            <w:noWrap/>
            <w:vAlign w:val="bottom"/>
            <w:hideMark/>
          </w:tcPr>
          <w:p w:rsidR="00F24464" w:rsidRPr="00F24464" w:rsidRDefault="00F24464" w:rsidP="00F24464">
            <w:pPr>
              <w:spacing w:after="0" w:line="240" w:lineRule="auto"/>
              <w:rPr>
                <w:rFonts w:ascii="Calibri" w:eastAsia="Times New Roman" w:hAnsi="Calibri" w:cs="Calibri"/>
                <w:color w:val="000000"/>
                <w:lang w:eastAsia="es-CO"/>
              </w:rPr>
            </w:pPr>
          </w:p>
        </w:tc>
      </w:tr>
    </w:tbl>
    <w:p w:rsidR="00F24464" w:rsidRDefault="00F24464" w:rsidP="00F24464">
      <w:pPr>
        <w:pStyle w:val="Prrafodelista"/>
        <w:spacing w:line="240" w:lineRule="auto"/>
        <w:ind w:left="0"/>
        <w:jc w:val="both"/>
        <w:rPr>
          <w:b/>
          <w:u w:val="single"/>
          <w:lang w:val="es-ES"/>
        </w:rPr>
      </w:pPr>
    </w:p>
    <w:p w:rsidR="00F40FBB" w:rsidRDefault="00F40FBB">
      <w:pPr>
        <w:rPr>
          <w:b/>
          <w:u w:val="single"/>
          <w:lang w:val="es-ES"/>
        </w:rPr>
      </w:pPr>
      <w:r>
        <w:rPr>
          <w:b/>
          <w:u w:val="single"/>
          <w:lang w:val="es-ES"/>
        </w:rPr>
        <w:br w:type="page"/>
      </w:r>
    </w:p>
    <w:p w:rsidR="00F24464" w:rsidRDefault="00F24464" w:rsidP="00F24464">
      <w:pPr>
        <w:pStyle w:val="Prrafodelista"/>
        <w:spacing w:line="240" w:lineRule="auto"/>
        <w:ind w:left="0"/>
        <w:jc w:val="both"/>
        <w:rPr>
          <w:b/>
          <w:u w:val="single"/>
          <w:lang w:val="es-ES"/>
        </w:rPr>
      </w:pPr>
      <w:r w:rsidRPr="00327A94">
        <w:rPr>
          <w:b/>
          <w:u w:val="single"/>
          <w:lang w:val="es-ES"/>
        </w:rPr>
        <w:lastRenderedPageBreak/>
        <w:t xml:space="preserve">Anexo </w:t>
      </w:r>
      <w:r>
        <w:rPr>
          <w:b/>
          <w:u w:val="single"/>
          <w:lang w:val="es-ES"/>
        </w:rPr>
        <w:t>2</w:t>
      </w:r>
    </w:p>
    <w:p w:rsidR="00F24464" w:rsidRDefault="00F24464" w:rsidP="00327A94">
      <w:pPr>
        <w:pStyle w:val="Prrafodelista"/>
        <w:spacing w:line="240" w:lineRule="auto"/>
        <w:ind w:left="0"/>
        <w:jc w:val="both"/>
        <w:rPr>
          <w:b/>
          <w:u w:val="single"/>
          <w:lang w:val="es-ES"/>
        </w:rPr>
      </w:pPr>
    </w:p>
    <w:tbl>
      <w:tblPr>
        <w:tblW w:w="6946" w:type="dxa"/>
        <w:tblCellMar>
          <w:left w:w="70" w:type="dxa"/>
          <w:right w:w="70" w:type="dxa"/>
        </w:tblCellMar>
        <w:tblLook w:val="04A0" w:firstRow="1" w:lastRow="0" w:firstColumn="1" w:lastColumn="0" w:noHBand="0" w:noVBand="1"/>
      </w:tblPr>
      <w:tblGrid>
        <w:gridCol w:w="4360"/>
        <w:gridCol w:w="2586"/>
      </w:tblGrid>
      <w:tr w:rsidR="004E4809" w:rsidRPr="004E4809" w:rsidTr="00A77B69">
        <w:trPr>
          <w:trHeight w:val="300"/>
        </w:trPr>
        <w:tc>
          <w:tcPr>
            <w:tcW w:w="6946" w:type="dxa"/>
            <w:gridSpan w:val="2"/>
            <w:tcBorders>
              <w:top w:val="nil"/>
              <w:left w:val="nil"/>
              <w:bottom w:val="nil"/>
              <w:right w:val="nil"/>
            </w:tcBorders>
            <w:shd w:val="clear" w:color="auto" w:fill="auto"/>
            <w:noWrap/>
            <w:vAlign w:val="bottom"/>
            <w:hideMark/>
          </w:tcPr>
          <w:p w:rsidR="004E4809" w:rsidRPr="004E4809" w:rsidRDefault="004E4809" w:rsidP="004E4809">
            <w:pPr>
              <w:spacing w:after="0" w:line="240" w:lineRule="auto"/>
              <w:jc w:val="center"/>
              <w:rPr>
                <w:rFonts w:ascii="Calibri" w:eastAsia="Times New Roman" w:hAnsi="Calibri" w:cs="Calibri"/>
                <w:b/>
                <w:bCs/>
                <w:color w:val="000000"/>
                <w:lang w:eastAsia="es-CO"/>
              </w:rPr>
            </w:pPr>
            <w:r w:rsidRPr="004E4809">
              <w:rPr>
                <w:rFonts w:ascii="Calibri" w:eastAsia="Times New Roman" w:hAnsi="Calibri" w:cs="Calibri"/>
                <w:b/>
                <w:bCs/>
                <w:color w:val="000000"/>
                <w:lang w:eastAsia="es-CO"/>
              </w:rPr>
              <w:t>COORDINACIÓN DE PROYECCIÓN SOCIAL IES CINOC</w:t>
            </w:r>
          </w:p>
        </w:tc>
      </w:tr>
      <w:tr w:rsidR="004E4809" w:rsidRPr="004E4809" w:rsidTr="00A77B69">
        <w:trPr>
          <w:trHeight w:val="300"/>
        </w:trPr>
        <w:tc>
          <w:tcPr>
            <w:tcW w:w="6946" w:type="dxa"/>
            <w:gridSpan w:val="2"/>
            <w:tcBorders>
              <w:top w:val="nil"/>
              <w:left w:val="nil"/>
              <w:bottom w:val="nil"/>
              <w:right w:val="nil"/>
            </w:tcBorders>
            <w:shd w:val="clear" w:color="auto" w:fill="auto"/>
            <w:noWrap/>
            <w:vAlign w:val="bottom"/>
            <w:hideMark/>
          </w:tcPr>
          <w:p w:rsidR="004E4809" w:rsidRPr="004E4809" w:rsidRDefault="004E4809" w:rsidP="004E4809">
            <w:pPr>
              <w:spacing w:after="0" w:line="240" w:lineRule="auto"/>
              <w:jc w:val="center"/>
              <w:rPr>
                <w:rFonts w:ascii="Calibri" w:eastAsia="Times New Roman" w:hAnsi="Calibri" w:cs="Calibri"/>
                <w:b/>
                <w:bCs/>
                <w:color w:val="000000"/>
                <w:lang w:eastAsia="es-CO"/>
              </w:rPr>
            </w:pPr>
            <w:r w:rsidRPr="004E4809">
              <w:rPr>
                <w:rFonts w:ascii="Calibri" w:eastAsia="Times New Roman" w:hAnsi="Calibri" w:cs="Calibri"/>
                <w:b/>
                <w:bCs/>
                <w:color w:val="000000"/>
                <w:lang w:eastAsia="es-CO"/>
              </w:rPr>
              <w:t>PRESUPUESTO INTERNACIONALIZACIÓN AÑO 2020</w:t>
            </w:r>
          </w:p>
        </w:tc>
      </w:tr>
      <w:tr w:rsidR="004E4809" w:rsidRPr="004E4809" w:rsidTr="00A77B69">
        <w:trPr>
          <w:trHeight w:val="315"/>
        </w:trPr>
        <w:tc>
          <w:tcPr>
            <w:tcW w:w="4360" w:type="dxa"/>
            <w:tcBorders>
              <w:top w:val="nil"/>
              <w:left w:val="nil"/>
              <w:bottom w:val="nil"/>
              <w:right w:val="nil"/>
            </w:tcBorders>
            <w:shd w:val="clear" w:color="auto" w:fill="auto"/>
            <w:noWrap/>
            <w:vAlign w:val="bottom"/>
            <w:hideMark/>
          </w:tcPr>
          <w:p w:rsidR="004E4809" w:rsidRPr="004E4809" w:rsidRDefault="004E4809" w:rsidP="004E4809">
            <w:pPr>
              <w:spacing w:after="0" w:line="240" w:lineRule="auto"/>
              <w:jc w:val="center"/>
              <w:rPr>
                <w:rFonts w:ascii="Calibri" w:eastAsia="Times New Roman" w:hAnsi="Calibri" w:cs="Calibri"/>
                <w:b/>
                <w:bCs/>
                <w:color w:val="000000"/>
                <w:lang w:eastAsia="es-CO"/>
              </w:rPr>
            </w:pPr>
          </w:p>
        </w:tc>
        <w:tc>
          <w:tcPr>
            <w:tcW w:w="2586" w:type="dxa"/>
            <w:tcBorders>
              <w:top w:val="nil"/>
              <w:left w:val="nil"/>
              <w:bottom w:val="nil"/>
              <w:right w:val="nil"/>
            </w:tcBorders>
            <w:shd w:val="clear" w:color="auto" w:fill="auto"/>
            <w:noWrap/>
            <w:vAlign w:val="bottom"/>
            <w:hideMark/>
          </w:tcPr>
          <w:p w:rsidR="004E4809" w:rsidRPr="004E4809" w:rsidRDefault="004E4809" w:rsidP="004E4809">
            <w:pPr>
              <w:spacing w:after="0" w:line="240" w:lineRule="auto"/>
              <w:rPr>
                <w:rFonts w:ascii="Times New Roman" w:eastAsia="Times New Roman" w:hAnsi="Times New Roman" w:cs="Times New Roman"/>
                <w:sz w:val="20"/>
                <w:szCs w:val="20"/>
                <w:lang w:eastAsia="es-CO"/>
              </w:rPr>
            </w:pPr>
          </w:p>
        </w:tc>
      </w:tr>
      <w:tr w:rsidR="004E4809" w:rsidRPr="004E4809" w:rsidTr="00A77B69">
        <w:trPr>
          <w:trHeight w:val="300"/>
        </w:trPr>
        <w:tc>
          <w:tcPr>
            <w:tcW w:w="43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E4809" w:rsidRPr="004E4809" w:rsidRDefault="004E4809" w:rsidP="004E4809">
            <w:pPr>
              <w:spacing w:after="0" w:line="240" w:lineRule="auto"/>
              <w:jc w:val="center"/>
              <w:rPr>
                <w:rFonts w:ascii="Calibri" w:eastAsia="Times New Roman" w:hAnsi="Calibri" w:cs="Calibri"/>
                <w:b/>
                <w:bCs/>
                <w:color w:val="000000"/>
                <w:lang w:eastAsia="es-CO"/>
              </w:rPr>
            </w:pPr>
            <w:r w:rsidRPr="004E4809">
              <w:rPr>
                <w:rFonts w:ascii="Calibri" w:eastAsia="Times New Roman" w:hAnsi="Calibri" w:cs="Calibri"/>
                <w:b/>
                <w:bCs/>
                <w:color w:val="000000"/>
                <w:lang w:eastAsia="es-CO"/>
              </w:rPr>
              <w:t>ACTIVIDAD</w:t>
            </w:r>
          </w:p>
        </w:tc>
        <w:tc>
          <w:tcPr>
            <w:tcW w:w="25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E4809" w:rsidRPr="004E4809" w:rsidRDefault="004E4809" w:rsidP="004E4809">
            <w:pPr>
              <w:spacing w:after="0" w:line="240" w:lineRule="auto"/>
              <w:jc w:val="center"/>
              <w:rPr>
                <w:rFonts w:ascii="Calibri" w:eastAsia="Times New Roman" w:hAnsi="Calibri" w:cs="Calibri"/>
                <w:b/>
                <w:bCs/>
                <w:color w:val="000000"/>
                <w:lang w:eastAsia="es-CO"/>
              </w:rPr>
            </w:pPr>
            <w:r w:rsidRPr="004E4809">
              <w:rPr>
                <w:rFonts w:ascii="Calibri" w:eastAsia="Times New Roman" w:hAnsi="Calibri" w:cs="Calibri"/>
                <w:b/>
                <w:bCs/>
                <w:color w:val="000000"/>
                <w:lang w:eastAsia="es-CO"/>
              </w:rPr>
              <w:t>PRESUPUESTO</w:t>
            </w:r>
          </w:p>
        </w:tc>
      </w:tr>
      <w:tr w:rsidR="004E4809" w:rsidRPr="004E4809" w:rsidTr="00A77B69">
        <w:trPr>
          <w:trHeight w:val="315"/>
        </w:trPr>
        <w:tc>
          <w:tcPr>
            <w:tcW w:w="4360" w:type="dxa"/>
            <w:vMerge/>
            <w:tcBorders>
              <w:top w:val="single" w:sz="8" w:space="0" w:color="auto"/>
              <w:left w:val="single" w:sz="8" w:space="0" w:color="auto"/>
              <w:bottom w:val="single" w:sz="8" w:space="0" w:color="000000"/>
              <w:right w:val="nil"/>
            </w:tcBorders>
            <w:vAlign w:val="center"/>
            <w:hideMark/>
          </w:tcPr>
          <w:p w:rsidR="004E4809" w:rsidRPr="004E4809" w:rsidRDefault="004E4809" w:rsidP="004E4809">
            <w:pPr>
              <w:spacing w:after="0" w:line="240" w:lineRule="auto"/>
              <w:rPr>
                <w:rFonts w:ascii="Calibri" w:eastAsia="Times New Roman" w:hAnsi="Calibri" w:cs="Calibri"/>
                <w:b/>
                <w:bCs/>
                <w:color w:val="000000"/>
                <w:lang w:eastAsia="es-CO"/>
              </w:rPr>
            </w:pPr>
          </w:p>
        </w:tc>
        <w:tc>
          <w:tcPr>
            <w:tcW w:w="2586" w:type="dxa"/>
            <w:vMerge/>
            <w:tcBorders>
              <w:top w:val="single" w:sz="8" w:space="0" w:color="auto"/>
              <w:left w:val="single" w:sz="8" w:space="0" w:color="auto"/>
              <w:bottom w:val="single" w:sz="8" w:space="0" w:color="000000"/>
              <w:right w:val="single" w:sz="8" w:space="0" w:color="auto"/>
            </w:tcBorders>
            <w:vAlign w:val="center"/>
            <w:hideMark/>
          </w:tcPr>
          <w:p w:rsidR="004E4809" w:rsidRPr="004E4809" w:rsidRDefault="004E4809" w:rsidP="004E4809">
            <w:pPr>
              <w:spacing w:after="0" w:line="240" w:lineRule="auto"/>
              <w:rPr>
                <w:rFonts w:ascii="Calibri" w:eastAsia="Times New Roman" w:hAnsi="Calibri" w:cs="Calibri"/>
                <w:b/>
                <w:bCs/>
                <w:color w:val="000000"/>
                <w:lang w:eastAsia="es-CO"/>
              </w:rPr>
            </w:pPr>
          </w:p>
        </w:tc>
      </w:tr>
      <w:tr w:rsidR="004E4809" w:rsidRPr="004E4809" w:rsidTr="00A77B69">
        <w:trPr>
          <w:trHeight w:val="600"/>
        </w:trPr>
        <w:tc>
          <w:tcPr>
            <w:tcW w:w="4360" w:type="dxa"/>
            <w:tcBorders>
              <w:top w:val="nil"/>
              <w:left w:val="single" w:sz="8" w:space="0" w:color="auto"/>
              <w:bottom w:val="single" w:sz="4" w:space="0" w:color="auto"/>
              <w:right w:val="nil"/>
            </w:tcBorders>
            <w:shd w:val="clear" w:color="auto" w:fill="auto"/>
            <w:vAlign w:val="bottom"/>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Estructuración Sistema de Internacionalización</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 $                     1.000.000 </w:t>
            </w:r>
          </w:p>
        </w:tc>
      </w:tr>
      <w:tr w:rsidR="004E4809" w:rsidRPr="004E4809" w:rsidTr="00A77B69">
        <w:trPr>
          <w:trHeight w:val="600"/>
        </w:trPr>
        <w:tc>
          <w:tcPr>
            <w:tcW w:w="4360" w:type="dxa"/>
            <w:tcBorders>
              <w:top w:val="nil"/>
              <w:left w:val="single" w:sz="8" w:space="0" w:color="auto"/>
              <w:bottom w:val="single" w:sz="4" w:space="0" w:color="auto"/>
              <w:right w:val="nil"/>
            </w:tcBorders>
            <w:shd w:val="clear" w:color="auto" w:fill="auto"/>
            <w:vAlign w:val="bottom"/>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Promoción, Publicidad y Divulgación de Actividades (visibilización prensa)</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 $                     1.500.000 </w:t>
            </w:r>
          </w:p>
        </w:tc>
      </w:tr>
      <w:tr w:rsidR="004E4809" w:rsidRPr="004E4809" w:rsidTr="00A77B69">
        <w:trPr>
          <w:trHeight w:val="300"/>
        </w:trPr>
        <w:tc>
          <w:tcPr>
            <w:tcW w:w="43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Socialización Plan de Movilidad </w:t>
            </w:r>
            <w:r w:rsidR="00A77B69" w:rsidRPr="004E4809">
              <w:rPr>
                <w:rFonts w:ascii="Calibri" w:eastAsia="Times New Roman" w:hAnsi="Calibri" w:cs="Calibri"/>
                <w:color w:val="000000"/>
                <w:lang w:eastAsia="es-CO"/>
              </w:rPr>
              <w:t>Académica</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 $                         400.000 </w:t>
            </w:r>
          </w:p>
        </w:tc>
      </w:tr>
      <w:tr w:rsidR="004E4809" w:rsidRPr="004E4809" w:rsidTr="00A77B69">
        <w:trPr>
          <w:trHeight w:val="300"/>
        </w:trPr>
        <w:tc>
          <w:tcPr>
            <w:tcW w:w="4360" w:type="dxa"/>
            <w:tcBorders>
              <w:top w:val="nil"/>
              <w:left w:val="single" w:sz="8" w:space="0" w:color="auto"/>
              <w:bottom w:val="single" w:sz="4" w:space="0" w:color="auto"/>
              <w:right w:val="single" w:sz="4" w:space="0" w:color="auto"/>
            </w:tcBorders>
            <w:shd w:val="clear" w:color="auto" w:fill="auto"/>
            <w:vAlign w:val="center"/>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Pasantía en México de estudiantes y docentes</w:t>
            </w:r>
          </w:p>
        </w:tc>
        <w:tc>
          <w:tcPr>
            <w:tcW w:w="2586" w:type="dxa"/>
            <w:tcBorders>
              <w:top w:val="nil"/>
              <w:left w:val="single" w:sz="8" w:space="0" w:color="auto"/>
              <w:bottom w:val="single" w:sz="4" w:space="0" w:color="auto"/>
              <w:right w:val="single" w:sz="8" w:space="0" w:color="auto"/>
            </w:tcBorders>
            <w:shd w:val="clear" w:color="000000" w:fill="DCE6F1"/>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 $                     1.000.000 </w:t>
            </w:r>
          </w:p>
        </w:tc>
      </w:tr>
      <w:tr w:rsidR="004E4809" w:rsidRPr="004E4809" w:rsidTr="00A77B69">
        <w:trPr>
          <w:trHeight w:val="600"/>
        </w:trPr>
        <w:tc>
          <w:tcPr>
            <w:tcW w:w="4360" w:type="dxa"/>
            <w:tcBorders>
              <w:top w:val="single" w:sz="4" w:space="0" w:color="auto"/>
              <w:left w:val="single" w:sz="8" w:space="0" w:color="auto"/>
              <w:bottom w:val="single" w:sz="4" w:space="0" w:color="auto"/>
              <w:right w:val="nil"/>
            </w:tcBorders>
            <w:shd w:val="clear" w:color="auto" w:fill="auto"/>
            <w:vAlign w:val="bottom"/>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Generación de alianzas y convenios interinstitucionales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 $                     5.000.000 </w:t>
            </w:r>
          </w:p>
        </w:tc>
      </w:tr>
      <w:tr w:rsidR="004E4809" w:rsidRPr="004E4809" w:rsidTr="00A77B69">
        <w:trPr>
          <w:trHeight w:val="600"/>
        </w:trPr>
        <w:tc>
          <w:tcPr>
            <w:tcW w:w="4360" w:type="dxa"/>
            <w:tcBorders>
              <w:top w:val="nil"/>
              <w:left w:val="single" w:sz="8" w:space="0" w:color="auto"/>
              <w:bottom w:val="single" w:sz="4" w:space="0" w:color="auto"/>
              <w:right w:val="nil"/>
            </w:tcBorders>
            <w:shd w:val="clear" w:color="auto" w:fill="auto"/>
            <w:vAlign w:val="bottom"/>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Diseño y Construcción Fichas inscripción Proyectos Proyección Social IES - CINOC</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w:t>
            </w:r>
          </w:p>
        </w:tc>
      </w:tr>
      <w:tr w:rsidR="004E4809" w:rsidRPr="004E4809" w:rsidTr="00A77B69">
        <w:trPr>
          <w:trHeight w:val="300"/>
        </w:trPr>
        <w:tc>
          <w:tcPr>
            <w:tcW w:w="43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Actividad de internacionalización 1</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 $                     1.500.000 </w:t>
            </w:r>
          </w:p>
        </w:tc>
      </w:tr>
      <w:tr w:rsidR="004E4809" w:rsidRPr="004E4809" w:rsidTr="00A77B69">
        <w:trPr>
          <w:trHeight w:val="600"/>
        </w:trPr>
        <w:tc>
          <w:tcPr>
            <w:tcW w:w="4360" w:type="dxa"/>
            <w:tcBorders>
              <w:top w:val="nil"/>
              <w:left w:val="single" w:sz="8" w:space="0" w:color="auto"/>
              <w:bottom w:val="single" w:sz="4" w:space="0" w:color="auto"/>
              <w:right w:val="single" w:sz="4" w:space="0" w:color="auto"/>
            </w:tcBorders>
            <w:shd w:val="clear" w:color="auto" w:fill="auto"/>
            <w:vAlign w:val="center"/>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Acompañamiento en el desarrollo del Proyecto Call Center</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 $                     1.000.000 </w:t>
            </w:r>
          </w:p>
        </w:tc>
      </w:tr>
      <w:tr w:rsidR="004E4809" w:rsidRPr="004E4809" w:rsidTr="00A77B69">
        <w:trPr>
          <w:trHeight w:val="300"/>
        </w:trPr>
        <w:tc>
          <w:tcPr>
            <w:tcW w:w="4360" w:type="dxa"/>
            <w:tcBorders>
              <w:top w:val="nil"/>
              <w:left w:val="single" w:sz="8" w:space="0" w:color="auto"/>
              <w:bottom w:val="single" w:sz="4" w:space="0" w:color="auto"/>
              <w:right w:val="single" w:sz="4" w:space="0" w:color="auto"/>
            </w:tcBorders>
            <w:shd w:val="clear" w:color="auto" w:fill="auto"/>
            <w:vAlign w:val="center"/>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Actividad de internacionalización 2</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 $                     2.000.000 </w:t>
            </w:r>
          </w:p>
        </w:tc>
      </w:tr>
      <w:tr w:rsidR="004E4809" w:rsidRPr="004E4809" w:rsidTr="00A77B69">
        <w:trPr>
          <w:trHeight w:val="300"/>
        </w:trPr>
        <w:tc>
          <w:tcPr>
            <w:tcW w:w="4360" w:type="dxa"/>
            <w:tcBorders>
              <w:top w:val="nil"/>
              <w:left w:val="single" w:sz="8" w:space="0" w:color="auto"/>
              <w:bottom w:val="single" w:sz="4" w:space="0" w:color="auto"/>
              <w:right w:val="single" w:sz="4" w:space="0" w:color="auto"/>
            </w:tcBorders>
            <w:shd w:val="clear" w:color="auto" w:fill="auto"/>
            <w:vAlign w:val="center"/>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Actividad de internacionalización 3</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 $                     2.000.000 </w:t>
            </w:r>
          </w:p>
        </w:tc>
      </w:tr>
      <w:tr w:rsidR="004E4809" w:rsidRPr="004E4809" w:rsidTr="00A77B69">
        <w:trPr>
          <w:trHeight w:val="300"/>
        </w:trPr>
        <w:tc>
          <w:tcPr>
            <w:tcW w:w="4360" w:type="dxa"/>
            <w:tcBorders>
              <w:top w:val="nil"/>
              <w:left w:val="single" w:sz="8" w:space="0" w:color="auto"/>
              <w:bottom w:val="single" w:sz="4" w:space="0" w:color="auto"/>
              <w:right w:val="single" w:sz="4" w:space="0" w:color="auto"/>
            </w:tcBorders>
            <w:shd w:val="clear" w:color="auto" w:fill="auto"/>
            <w:vAlign w:val="center"/>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Actividad de internacionalización 4</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 $                     2.000.000 </w:t>
            </w:r>
          </w:p>
        </w:tc>
      </w:tr>
      <w:tr w:rsidR="004E4809" w:rsidRPr="004E4809" w:rsidTr="00A77B69">
        <w:trPr>
          <w:trHeight w:val="600"/>
        </w:trPr>
        <w:tc>
          <w:tcPr>
            <w:tcW w:w="4360" w:type="dxa"/>
            <w:tcBorders>
              <w:top w:val="single" w:sz="4" w:space="0" w:color="auto"/>
              <w:left w:val="single" w:sz="8" w:space="0" w:color="auto"/>
              <w:bottom w:val="single" w:sz="4" w:space="0" w:color="auto"/>
              <w:right w:val="nil"/>
            </w:tcBorders>
            <w:shd w:val="clear" w:color="auto" w:fill="auto"/>
            <w:vAlign w:val="bottom"/>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Aplicación de Transversalidad de la Internacionalización en la IES CINOC</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 $                         600.000 </w:t>
            </w:r>
          </w:p>
        </w:tc>
      </w:tr>
      <w:tr w:rsidR="004E4809" w:rsidRPr="004E4809" w:rsidTr="00A77B69">
        <w:trPr>
          <w:trHeight w:val="600"/>
        </w:trPr>
        <w:tc>
          <w:tcPr>
            <w:tcW w:w="4360" w:type="dxa"/>
            <w:tcBorders>
              <w:top w:val="nil"/>
              <w:left w:val="single" w:sz="8" w:space="0" w:color="auto"/>
              <w:bottom w:val="single" w:sz="4" w:space="0" w:color="auto"/>
              <w:right w:val="nil"/>
            </w:tcBorders>
            <w:shd w:val="clear" w:color="auto" w:fill="auto"/>
            <w:vAlign w:val="bottom"/>
            <w:hideMark/>
          </w:tcPr>
          <w:p w:rsidR="004E4809" w:rsidRPr="004E4809" w:rsidRDefault="004E4809" w:rsidP="00A77B6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Generación Archivo documental y Base de datos.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w:t>
            </w:r>
          </w:p>
        </w:tc>
      </w:tr>
      <w:tr w:rsidR="004E4809" w:rsidRPr="004E4809" w:rsidTr="00A77B69">
        <w:trPr>
          <w:trHeight w:val="315"/>
        </w:trPr>
        <w:tc>
          <w:tcPr>
            <w:tcW w:w="4360" w:type="dxa"/>
            <w:tcBorders>
              <w:top w:val="nil"/>
              <w:left w:val="single" w:sz="8" w:space="0" w:color="auto"/>
              <w:bottom w:val="single" w:sz="8" w:space="0" w:color="auto"/>
              <w:right w:val="nil"/>
            </w:tcBorders>
            <w:shd w:val="clear" w:color="auto" w:fill="auto"/>
            <w:vAlign w:val="bottom"/>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Participación de la IES CINOC en Congresos</w:t>
            </w:r>
          </w:p>
        </w:tc>
        <w:tc>
          <w:tcPr>
            <w:tcW w:w="2586" w:type="dxa"/>
            <w:tcBorders>
              <w:top w:val="nil"/>
              <w:left w:val="single" w:sz="8" w:space="0" w:color="auto"/>
              <w:bottom w:val="nil"/>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color w:val="000000"/>
                <w:lang w:eastAsia="es-CO"/>
              </w:rPr>
            </w:pPr>
            <w:r w:rsidRPr="004E4809">
              <w:rPr>
                <w:rFonts w:ascii="Calibri" w:eastAsia="Times New Roman" w:hAnsi="Calibri" w:cs="Calibri"/>
                <w:color w:val="000000"/>
                <w:lang w:eastAsia="es-CO"/>
              </w:rPr>
              <w:t xml:space="preserve"> $                     3.000.000 </w:t>
            </w:r>
          </w:p>
        </w:tc>
      </w:tr>
      <w:tr w:rsidR="004E4809" w:rsidRPr="004E4809" w:rsidTr="00A77B69">
        <w:trPr>
          <w:trHeight w:val="315"/>
        </w:trPr>
        <w:tc>
          <w:tcPr>
            <w:tcW w:w="4360" w:type="dxa"/>
            <w:tcBorders>
              <w:top w:val="nil"/>
              <w:left w:val="single" w:sz="8" w:space="0" w:color="auto"/>
              <w:bottom w:val="single" w:sz="8" w:space="0" w:color="auto"/>
              <w:right w:val="single" w:sz="8" w:space="0" w:color="auto"/>
            </w:tcBorders>
            <w:shd w:val="clear" w:color="auto" w:fill="auto"/>
            <w:vAlign w:val="bottom"/>
            <w:hideMark/>
          </w:tcPr>
          <w:p w:rsidR="004E4809" w:rsidRPr="004E4809" w:rsidRDefault="004E4809" w:rsidP="004E4809">
            <w:pPr>
              <w:spacing w:after="0" w:line="240" w:lineRule="auto"/>
              <w:jc w:val="center"/>
              <w:rPr>
                <w:rFonts w:ascii="Calibri" w:eastAsia="Times New Roman" w:hAnsi="Calibri" w:cs="Calibri"/>
                <w:b/>
                <w:bCs/>
                <w:color w:val="000000"/>
                <w:lang w:eastAsia="es-CO"/>
              </w:rPr>
            </w:pPr>
            <w:r w:rsidRPr="004E4809">
              <w:rPr>
                <w:rFonts w:ascii="Calibri" w:eastAsia="Times New Roman" w:hAnsi="Calibri" w:cs="Calibri"/>
                <w:b/>
                <w:bCs/>
                <w:color w:val="000000"/>
                <w:lang w:eastAsia="es-CO"/>
              </w:rPr>
              <w:t>TOTAL</w:t>
            </w:r>
          </w:p>
        </w:tc>
        <w:tc>
          <w:tcPr>
            <w:tcW w:w="2586" w:type="dxa"/>
            <w:tcBorders>
              <w:top w:val="single" w:sz="8" w:space="0" w:color="auto"/>
              <w:left w:val="nil"/>
              <w:bottom w:val="single" w:sz="8" w:space="0" w:color="auto"/>
              <w:right w:val="single" w:sz="8" w:space="0" w:color="auto"/>
            </w:tcBorders>
            <w:shd w:val="clear" w:color="auto" w:fill="auto"/>
            <w:noWrap/>
            <w:vAlign w:val="bottom"/>
            <w:hideMark/>
          </w:tcPr>
          <w:p w:rsidR="004E4809" w:rsidRPr="004E4809" w:rsidRDefault="004E4809" w:rsidP="00A77B69">
            <w:pPr>
              <w:spacing w:after="0" w:line="240" w:lineRule="auto"/>
              <w:jc w:val="right"/>
              <w:rPr>
                <w:rFonts w:ascii="Calibri" w:eastAsia="Times New Roman" w:hAnsi="Calibri" w:cs="Calibri"/>
                <w:b/>
                <w:bCs/>
                <w:color w:val="000000"/>
                <w:lang w:eastAsia="es-CO"/>
              </w:rPr>
            </w:pPr>
            <w:r w:rsidRPr="004E4809">
              <w:rPr>
                <w:rFonts w:ascii="Calibri" w:eastAsia="Times New Roman" w:hAnsi="Calibri" w:cs="Calibri"/>
                <w:b/>
                <w:bCs/>
                <w:color w:val="000000"/>
                <w:lang w:eastAsia="es-CO"/>
              </w:rPr>
              <w:t xml:space="preserve"> $                   21.000.000 </w:t>
            </w:r>
          </w:p>
        </w:tc>
      </w:tr>
      <w:tr w:rsidR="004E4809" w:rsidRPr="004E4809" w:rsidTr="00A77B69">
        <w:trPr>
          <w:trHeight w:val="300"/>
        </w:trPr>
        <w:tc>
          <w:tcPr>
            <w:tcW w:w="4360" w:type="dxa"/>
            <w:tcBorders>
              <w:top w:val="nil"/>
              <w:left w:val="nil"/>
              <w:bottom w:val="nil"/>
              <w:right w:val="nil"/>
            </w:tcBorders>
            <w:shd w:val="clear" w:color="auto" w:fill="auto"/>
            <w:vAlign w:val="bottom"/>
            <w:hideMark/>
          </w:tcPr>
          <w:p w:rsidR="004E4809" w:rsidRPr="004E4809" w:rsidRDefault="004E4809" w:rsidP="004E4809">
            <w:pPr>
              <w:spacing w:after="0" w:line="240" w:lineRule="auto"/>
              <w:rPr>
                <w:rFonts w:ascii="Calibri" w:eastAsia="Times New Roman" w:hAnsi="Calibri" w:cs="Calibri"/>
                <w:b/>
                <w:bCs/>
                <w:color w:val="000000"/>
                <w:lang w:eastAsia="es-CO"/>
              </w:rPr>
            </w:pPr>
          </w:p>
        </w:tc>
        <w:tc>
          <w:tcPr>
            <w:tcW w:w="2586" w:type="dxa"/>
            <w:tcBorders>
              <w:top w:val="nil"/>
              <w:left w:val="nil"/>
              <w:bottom w:val="nil"/>
              <w:right w:val="nil"/>
            </w:tcBorders>
            <w:shd w:val="clear" w:color="auto" w:fill="auto"/>
            <w:noWrap/>
            <w:vAlign w:val="bottom"/>
            <w:hideMark/>
          </w:tcPr>
          <w:p w:rsidR="004E4809" w:rsidRPr="004E4809" w:rsidRDefault="004E4809" w:rsidP="004E4809">
            <w:pPr>
              <w:spacing w:after="0" w:line="240" w:lineRule="auto"/>
              <w:jc w:val="center"/>
              <w:rPr>
                <w:rFonts w:ascii="Times New Roman" w:eastAsia="Times New Roman" w:hAnsi="Times New Roman" w:cs="Times New Roman"/>
                <w:sz w:val="20"/>
                <w:szCs w:val="20"/>
                <w:lang w:eastAsia="es-CO"/>
              </w:rPr>
            </w:pPr>
          </w:p>
        </w:tc>
      </w:tr>
      <w:tr w:rsidR="004E4809" w:rsidRPr="004E4809" w:rsidTr="00A77B69">
        <w:trPr>
          <w:trHeight w:val="300"/>
        </w:trPr>
        <w:tc>
          <w:tcPr>
            <w:tcW w:w="4360" w:type="dxa"/>
            <w:tcBorders>
              <w:top w:val="nil"/>
              <w:left w:val="nil"/>
              <w:bottom w:val="nil"/>
              <w:right w:val="nil"/>
            </w:tcBorders>
            <w:shd w:val="clear" w:color="auto" w:fill="auto"/>
            <w:noWrap/>
            <w:vAlign w:val="bottom"/>
            <w:hideMark/>
          </w:tcPr>
          <w:p w:rsidR="004E4809" w:rsidRPr="004E4809" w:rsidRDefault="004E4809" w:rsidP="004E4809">
            <w:pPr>
              <w:spacing w:after="0" w:line="240" w:lineRule="auto"/>
              <w:rPr>
                <w:rFonts w:ascii="Times New Roman" w:eastAsia="Times New Roman" w:hAnsi="Times New Roman" w:cs="Times New Roman"/>
                <w:sz w:val="20"/>
                <w:szCs w:val="20"/>
                <w:lang w:eastAsia="es-CO"/>
              </w:rPr>
            </w:pPr>
          </w:p>
        </w:tc>
        <w:tc>
          <w:tcPr>
            <w:tcW w:w="2586" w:type="dxa"/>
            <w:tcBorders>
              <w:top w:val="nil"/>
              <w:left w:val="nil"/>
              <w:bottom w:val="nil"/>
              <w:right w:val="nil"/>
            </w:tcBorders>
            <w:shd w:val="clear" w:color="auto" w:fill="auto"/>
            <w:noWrap/>
            <w:vAlign w:val="bottom"/>
            <w:hideMark/>
          </w:tcPr>
          <w:p w:rsidR="004E4809" w:rsidRPr="004E4809" w:rsidRDefault="004E4809" w:rsidP="004E4809">
            <w:pPr>
              <w:spacing w:after="0" w:line="240" w:lineRule="auto"/>
              <w:rPr>
                <w:rFonts w:ascii="Times New Roman" w:eastAsia="Times New Roman" w:hAnsi="Times New Roman" w:cs="Times New Roman"/>
                <w:sz w:val="20"/>
                <w:szCs w:val="20"/>
                <w:lang w:eastAsia="es-CO"/>
              </w:rPr>
            </w:pPr>
          </w:p>
        </w:tc>
      </w:tr>
      <w:tr w:rsidR="004E4809" w:rsidRPr="004E4809" w:rsidTr="00A77B69">
        <w:trPr>
          <w:trHeight w:val="300"/>
        </w:trPr>
        <w:tc>
          <w:tcPr>
            <w:tcW w:w="4360" w:type="dxa"/>
            <w:tcBorders>
              <w:top w:val="nil"/>
              <w:left w:val="nil"/>
              <w:bottom w:val="nil"/>
              <w:right w:val="nil"/>
            </w:tcBorders>
            <w:shd w:val="clear" w:color="auto" w:fill="auto"/>
            <w:vAlign w:val="bottom"/>
            <w:hideMark/>
          </w:tcPr>
          <w:p w:rsidR="004E4809" w:rsidRPr="004E4809" w:rsidRDefault="004E4809" w:rsidP="004E4809">
            <w:pPr>
              <w:spacing w:after="0" w:line="240" w:lineRule="auto"/>
              <w:rPr>
                <w:rFonts w:ascii="Calibri" w:eastAsia="Times New Roman" w:hAnsi="Calibri" w:cs="Calibri"/>
                <w:b/>
                <w:bCs/>
                <w:color w:val="000000"/>
                <w:lang w:eastAsia="es-CO"/>
              </w:rPr>
            </w:pPr>
            <w:r w:rsidRPr="004E4809">
              <w:rPr>
                <w:rFonts w:ascii="Calibri" w:eastAsia="Times New Roman" w:hAnsi="Calibri" w:cs="Calibri"/>
                <w:b/>
                <w:bCs/>
                <w:color w:val="000000"/>
                <w:lang w:eastAsia="es-CO"/>
              </w:rPr>
              <w:t>DAVID RICARDO HENAO GIRALDO</w:t>
            </w:r>
          </w:p>
        </w:tc>
        <w:tc>
          <w:tcPr>
            <w:tcW w:w="2586" w:type="dxa"/>
            <w:tcBorders>
              <w:top w:val="nil"/>
              <w:left w:val="nil"/>
              <w:bottom w:val="nil"/>
              <w:right w:val="nil"/>
            </w:tcBorders>
            <w:shd w:val="clear" w:color="auto" w:fill="auto"/>
            <w:noWrap/>
            <w:vAlign w:val="bottom"/>
            <w:hideMark/>
          </w:tcPr>
          <w:p w:rsidR="004E4809" w:rsidRPr="004E4809" w:rsidRDefault="004E4809" w:rsidP="004E4809">
            <w:pPr>
              <w:spacing w:after="0" w:line="240" w:lineRule="auto"/>
              <w:rPr>
                <w:rFonts w:ascii="Calibri" w:eastAsia="Times New Roman" w:hAnsi="Calibri" w:cs="Calibri"/>
                <w:b/>
                <w:bCs/>
                <w:color w:val="000000"/>
                <w:lang w:eastAsia="es-CO"/>
              </w:rPr>
            </w:pPr>
          </w:p>
        </w:tc>
      </w:tr>
      <w:tr w:rsidR="004E4809" w:rsidRPr="004E4809" w:rsidTr="00A77B69">
        <w:trPr>
          <w:trHeight w:val="300"/>
        </w:trPr>
        <w:tc>
          <w:tcPr>
            <w:tcW w:w="4360" w:type="dxa"/>
            <w:tcBorders>
              <w:top w:val="nil"/>
              <w:left w:val="nil"/>
              <w:bottom w:val="nil"/>
              <w:right w:val="nil"/>
            </w:tcBorders>
            <w:shd w:val="clear" w:color="auto" w:fill="auto"/>
            <w:vAlign w:val="bottom"/>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Docente Coordinador Proyección Social y Emprendimiento</w:t>
            </w:r>
          </w:p>
        </w:tc>
        <w:tc>
          <w:tcPr>
            <w:tcW w:w="2586" w:type="dxa"/>
            <w:tcBorders>
              <w:top w:val="nil"/>
              <w:left w:val="nil"/>
              <w:bottom w:val="nil"/>
              <w:right w:val="nil"/>
            </w:tcBorders>
            <w:shd w:val="clear" w:color="auto" w:fill="auto"/>
            <w:vAlign w:val="bottom"/>
            <w:hideMark/>
          </w:tcPr>
          <w:p w:rsidR="004E4809" w:rsidRPr="004E4809" w:rsidRDefault="004E4809" w:rsidP="004E4809">
            <w:pPr>
              <w:spacing w:after="0" w:line="240" w:lineRule="auto"/>
              <w:rPr>
                <w:rFonts w:ascii="Calibri" w:eastAsia="Times New Roman" w:hAnsi="Calibri" w:cs="Calibri"/>
                <w:color w:val="000000"/>
                <w:lang w:eastAsia="es-CO"/>
              </w:rPr>
            </w:pPr>
          </w:p>
        </w:tc>
      </w:tr>
      <w:tr w:rsidR="004E4809" w:rsidRPr="004E4809" w:rsidTr="00A77B69">
        <w:trPr>
          <w:trHeight w:val="300"/>
        </w:trPr>
        <w:tc>
          <w:tcPr>
            <w:tcW w:w="4360" w:type="dxa"/>
            <w:tcBorders>
              <w:top w:val="nil"/>
              <w:left w:val="nil"/>
              <w:bottom w:val="nil"/>
              <w:right w:val="nil"/>
            </w:tcBorders>
            <w:shd w:val="clear" w:color="auto" w:fill="auto"/>
            <w:noWrap/>
            <w:vAlign w:val="bottom"/>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IES - CINOC</w:t>
            </w:r>
          </w:p>
        </w:tc>
        <w:tc>
          <w:tcPr>
            <w:tcW w:w="2586" w:type="dxa"/>
            <w:tcBorders>
              <w:top w:val="nil"/>
              <w:left w:val="nil"/>
              <w:bottom w:val="nil"/>
              <w:right w:val="nil"/>
            </w:tcBorders>
            <w:shd w:val="clear" w:color="auto" w:fill="auto"/>
            <w:noWrap/>
            <w:vAlign w:val="bottom"/>
            <w:hideMark/>
          </w:tcPr>
          <w:p w:rsidR="004E4809" w:rsidRPr="004E4809" w:rsidRDefault="004E4809" w:rsidP="004E4809">
            <w:pPr>
              <w:spacing w:after="0" w:line="240" w:lineRule="auto"/>
              <w:rPr>
                <w:rFonts w:ascii="Calibri" w:eastAsia="Times New Roman" w:hAnsi="Calibri" w:cs="Calibri"/>
                <w:color w:val="000000"/>
                <w:lang w:eastAsia="es-CO"/>
              </w:rPr>
            </w:pPr>
          </w:p>
        </w:tc>
      </w:tr>
      <w:tr w:rsidR="004E4809" w:rsidRPr="004E4809" w:rsidTr="00A77B69">
        <w:trPr>
          <w:trHeight w:val="300"/>
        </w:trPr>
        <w:tc>
          <w:tcPr>
            <w:tcW w:w="4360" w:type="dxa"/>
            <w:tcBorders>
              <w:top w:val="nil"/>
              <w:left w:val="nil"/>
              <w:bottom w:val="nil"/>
              <w:right w:val="nil"/>
            </w:tcBorders>
            <w:shd w:val="clear" w:color="auto" w:fill="auto"/>
            <w:noWrap/>
            <w:vAlign w:val="bottom"/>
            <w:hideMark/>
          </w:tcPr>
          <w:p w:rsidR="004E4809" w:rsidRPr="004E4809" w:rsidRDefault="004E4809" w:rsidP="004E4809">
            <w:pPr>
              <w:spacing w:after="0" w:line="240" w:lineRule="auto"/>
              <w:rPr>
                <w:rFonts w:ascii="Calibri" w:eastAsia="Times New Roman" w:hAnsi="Calibri" w:cs="Calibri"/>
                <w:color w:val="000000"/>
                <w:lang w:eastAsia="es-CO"/>
              </w:rPr>
            </w:pPr>
            <w:r w:rsidRPr="004E4809">
              <w:rPr>
                <w:rFonts w:ascii="Calibri" w:eastAsia="Times New Roman" w:hAnsi="Calibri" w:cs="Calibri"/>
                <w:color w:val="000000"/>
                <w:lang w:eastAsia="es-CO"/>
              </w:rPr>
              <w:t>Pensilvania - Caldas</w:t>
            </w:r>
          </w:p>
        </w:tc>
        <w:tc>
          <w:tcPr>
            <w:tcW w:w="2586" w:type="dxa"/>
            <w:tcBorders>
              <w:top w:val="nil"/>
              <w:left w:val="nil"/>
              <w:bottom w:val="nil"/>
              <w:right w:val="nil"/>
            </w:tcBorders>
            <w:shd w:val="clear" w:color="auto" w:fill="auto"/>
            <w:noWrap/>
            <w:vAlign w:val="bottom"/>
            <w:hideMark/>
          </w:tcPr>
          <w:p w:rsidR="004E4809" w:rsidRPr="004E4809" w:rsidRDefault="004E4809" w:rsidP="004E4809">
            <w:pPr>
              <w:spacing w:after="0" w:line="240" w:lineRule="auto"/>
              <w:rPr>
                <w:rFonts w:ascii="Calibri" w:eastAsia="Times New Roman" w:hAnsi="Calibri" w:cs="Calibri"/>
                <w:color w:val="000000"/>
                <w:lang w:eastAsia="es-CO"/>
              </w:rPr>
            </w:pPr>
          </w:p>
        </w:tc>
      </w:tr>
    </w:tbl>
    <w:p w:rsidR="00F24464" w:rsidRDefault="00F24464" w:rsidP="00327A94">
      <w:pPr>
        <w:pStyle w:val="Prrafodelista"/>
        <w:spacing w:line="240" w:lineRule="auto"/>
        <w:ind w:left="0"/>
        <w:jc w:val="both"/>
        <w:rPr>
          <w:b/>
          <w:u w:val="single"/>
          <w:lang w:val="es-ES"/>
        </w:rPr>
      </w:pPr>
    </w:p>
    <w:p w:rsidR="00F24464" w:rsidRDefault="00F24464" w:rsidP="00327A94">
      <w:pPr>
        <w:pStyle w:val="Prrafodelista"/>
        <w:spacing w:line="240" w:lineRule="auto"/>
        <w:ind w:left="0"/>
        <w:jc w:val="both"/>
        <w:rPr>
          <w:b/>
          <w:u w:val="single"/>
          <w:lang w:val="es-ES"/>
        </w:rPr>
      </w:pPr>
    </w:p>
    <w:p w:rsidR="00A77B69" w:rsidRDefault="00A77B69" w:rsidP="00327A94">
      <w:pPr>
        <w:pStyle w:val="Prrafodelista"/>
        <w:spacing w:line="240" w:lineRule="auto"/>
        <w:ind w:left="0"/>
        <w:jc w:val="both"/>
        <w:rPr>
          <w:b/>
          <w:u w:val="single"/>
          <w:lang w:val="es-ES"/>
        </w:rPr>
      </w:pPr>
    </w:p>
    <w:p w:rsidR="00A77B69" w:rsidRDefault="00A77B69" w:rsidP="00327A94">
      <w:pPr>
        <w:pStyle w:val="Prrafodelista"/>
        <w:spacing w:line="240" w:lineRule="auto"/>
        <w:ind w:left="0"/>
        <w:jc w:val="both"/>
        <w:rPr>
          <w:b/>
          <w:u w:val="single"/>
          <w:lang w:val="es-ES"/>
        </w:rPr>
      </w:pPr>
    </w:p>
    <w:p w:rsidR="00A77B69" w:rsidRDefault="00A77B69" w:rsidP="00327A94">
      <w:pPr>
        <w:pStyle w:val="Prrafodelista"/>
        <w:spacing w:line="240" w:lineRule="auto"/>
        <w:ind w:left="0"/>
        <w:jc w:val="both"/>
        <w:rPr>
          <w:b/>
          <w:u w:val="single"/>
          <w:lang w:val="es-ES"/>
        </w:rPr>
      </w:pPr>
    </w:p>
    <w:p w:rsidR="00A77B69" w:rsidRDefault="00A77B69" w:rsidP="00327A94">
      <w:pPr>
        <w:pStyle w:val="Prrafodelista"/>
        <w:spacing w:line="240" w:lineRule="auto"/>
        <w:ind w:left="0"/>
        <w:jc w:val="both"/>
        <w:rPr>
          <w:b/>
          <w:u w:val="single"/>
          <w:lang w:val="es-ES"/>
        </w:rPr>
      </w:pPr>
    </w:p>
    <w:p w:rsidR="00A77B69" w:rsidRDefault="00A77B69" w:rsidP="00327A94">
      <w:pPr>
        <w:pStyle w:val="Prrafodelista"/>
        <w:spacing w:line="240" w:lineRule="auto"/>
        <w:ind w:left="0"/>
        <w:jc w:val="both"/>
        <w:rPr>
          <w:b/>
          <w:u w:val="single"/>
          <w:lang w:val="es-ES"/>
        </w:rPr>
      </w:pPr>
    </w:p>
    <w:p w:rsidR="002367A4" w:rsidRPr="00327A94" w:rsidRDefault="00327A94" w:rsidP="00327A94">
      <w:pPr>
        <w:pStyle w:val="Prrafodelista"/>
        <w:spacing w:line="240" w:lineRule="auto"/>
        <w:ind w:left="0"/>
        <w:jc w:val="both"/>
        <w:rPr>
          <w:b/>
          <w:u w:val="single"/>
          <w:lang w:val="es-ES"/>
        </w:rPr>
      </w:pPr>
      <w:r w:rsidRPr="00327A94">
        <w:rPr>
          <w:b/>
          <w:u w:val="single"/>
          <w:lang w:val="es-ES"/>
        </w:rPr>
        <w:lastRenderedPageBreak/>
        <w:t xml:space="preserve">Anexo </w:t>
      </w:r>
      <w:r w:rsidR="00F24464">
        <w:rPr>
          <w:b/>
          <w:u w:val="single"/>
          <w:lang w:val="es-ES"/>
        </w:rPr>
        <w:t>3</w:t>
      </w:r>
    </w:p>
    <w:p w:rsidR="00327A94" w:rsidRDefault="00327A94" w:rsidP="00D87BC4">
      <w:pPr>
        <w:pStyle w:val="Prrafodelista"/>
        <w:spacing w:line="240" w:lineRule="auto"/>
        <w:ind w:left="1080"/>
        <w:jc w:val="both"/>
        <w:rPr>
          <w:lang w:val="es-ES"/>
        </w:rPr>
      </w:pPr>
    </w:p>
    <w:p w:rsidR="00647A7F" w:rsidRPr="00B34EEA" w:rsidRDefault="00647A7F" w:rsidP="00647A7F">
      <w:pPr>
        <w:shd w:val="clear" w:color="auto" w:fill="FFFFFF"/>
        <w:spacing w:after="200" w:line="240" w:lineRule="auto"/>
        <w:jc w:val="both"/>
        <w:rPr>
          <w:rFonts w:ascii="Calibri" w:eastAsia="Times New Roman" w:hAnsi="Calibri" w:cs="Calibri"/>
          <w:color w:val="222222"/>
          <w:lang w:eastAsia="es-CO"/>
        </w:rPr>
      </w:pPr>
      <w:r w:rsidRPr="00B34EEA">
        <w:rPr>
          <w:rFonts w:ascii="Arial" w:eastAsia="Times New Roman" w:hAnsi="Arial" w:cs="Arial"/>
          <w:b/>
          <w:bCs/>
          <w:color w:val="000000"/>
          <w:sz w:val="24"/>
          <w:szCs w:val="24"/>
          <w:lang w:val="es-ES" w:eastAsia="es-CO"/>
        </w:rPr>
        <w:t>ANTECEDENTES Y CONTEXTO</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 Con el objetivo de cumplir a cabalidad los propósitos fijados en el Plan de Mercadeo y haciendo caso a las reiteradas sugerencias registradas en los formatos ACPM sobre un plan de mercadeo “agresivo” que impacte la opinión pública y teniendo en cuenta los resultados de los ejercicios realizados en las sedes Pensilvania, Marquetalia y Manzanares, donde comunidad educativa y estudiantes se han quejado de la falta de difusión informativa que alcance a más potencial estudiantado. se ha llegado a la conclusión de que la comunidad, estudiantes y docentes demandan una estrategia publicitaria agresiva que posicione a la institución como referente en la educación superior en su área de influencia.</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Teniendo en cuenta los siguientes datos:</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La encuesta de percepción de marca dice que el </w:t>
      </w:r>
      <w:r w:rsidRPr="00B34EEA">
        <w:rPr>
          <w:rFonts w:ascii="Calibri" w:eastAsia="Times New Roman" w:hAnsi="Calibri" w:cs="Calibri"/>
          <w:b/>
          <w:bCs/>
          <w:color w:val="222222"/>
          <w:lang w:val="es-ES" w:eastAsia="es-CO"/>
        </w:rPr>
        <w:t>33% </w:t>
      </w:r>
      <w:r w:rsidRPr="00B34EEA">
        <w:rPr>
          <w:rFonts w:ascii="Calibri" w:eastAsia="Times New Roman" w:hAnsi="Calibri" w:cs="Calibri"/>
          <w:color w:val="222222"/>
          <w:lang w:val="es-ES" w:eastAsia="es-CO"/>
        </w:rPr>
        <w:t>de los encuestados considera que el </w:t>
      </w:r>
      <w:r w:rsidRPr="00B34EEA">
        <w:rPr>
          <w:rFonts w:ascii="Calibri" w:eastAsia="Times New Roman" w:hAnsi="Calibri" w:cs="Calibri"/>
          <w:b/>
          <w:bCs/>
          <w:color w:val="222222"/>
          <w:lang w:val="es-ES" w:eastAsia="es-CO"/>
        </w:rPr>
        <w:t>posicionamiento de marca</w:t>
      </w:r>
      <w:r w:rsidRPr="00B34EEA">
        <w:rPr>
          <w:rFonts w:ascii="Calibri" w:eastAsia="Times New Roman" w:hAnsi="Calibri" w:cs="Calibri"/>
          <w:color w:val="222222"/>
          <w:lang w:val="es-ES" w:eastAsia="es-CO"/>
        </w:rPr>
        <w:t> e información de la </w:t>
      </w:r>
      <w:r w:rsidRPr="00B34EEA">
        <w:rPr>
          <w:rFonts w:ascii="Calibri" w:eastAsia="Times New Roman" w:hAnsi="Calibri" w:cs="Calibri"/>
          <w:b/>
          <w:bCs/>
          <w:color w:val="222222"/>
          <w:lang w:val="es-ES" w:eastAsia="es-CO"/>
        </w:rPr>
        <w:t>IES CINOC</w:t>
      </w:r>
      <w:r w:rsidRPr="00B34EEA">
        <w:rPr>
          <w:rFonts w:ascii="Calibri" w:eastAsia="Times New Roman" w:hAnsi="Calibri" w:cs="Calibri"/>
          <w:color w:val="222222"/>
          <w:lang w:val="es-ES" w:eastAsia="es-CO"/>
        </w:rPr>
        <w:t> </w:t>
      </w:r>
      <w:r w:rsidRPr="00B34EEA">
        <w:rPr>
          <w:rFonts w:ascii="Calibri" w:eastAsia="Times New Roman" w:hAnsi="Calibri" w:cs="Calibri"/>
          <w:b/>
          <w:bCs/>
          <w:color w:val="222222"/>
          <w:lang w:val="es-ES" w:eastAsia="es-CO"/>
        </w:rPr>
        <w:t>mejoró </w:t>
      </w:r>
      <w:r w:rsidRPr="00B34EEA">
        <w:rPr>
          <w:rFonts w:ascii="Calibri" w:eastAsia="Times New Roman" w:hAnsi="Calibri" w:cs="Calibri"/>
          <w:color w:val="222222"/>
          <w:lang w:val="es-ES" w:eastAsia="es-CO"/>
        </w:rPr>
        <w:t>durante el último año y el </w:t>
      </w:r>
      <w:r w:rsidRPr="00B34EEA">
        <w:rPr>
          <w:rFonts w:ascii="Calibri" w:eastAsia="Times New Roman" w:hAnsi="Calibri" w:cs="Calibri"/>
          <w:b/>
          <w:bCs/>
          <w:color w:val="222222"/>
          <w:lang w:val="es-ES" w:eastAsia="es-CO"/>
        </w:rPr>
        <w:t>62%</w:t>
      </w:r>
      <w:r w:rsidRPr="00B34EEA">
        <w:rPr>
          <w:rFonts w:ascii="Calibri" w:eastAsia="Times New Roman" w:hAnsi="Calibri" w:cs="Calibri"/>
          <w:color w:val="222222"/>
          <w:lang w:val="es-ES" w:eastAsia="es-CO"/>
        </w:rPr>
        <w:t> piensa que </w:t>
      </w:r>
      <w:r w:rsidRPr="00B34EEA">
        <w:rPr>
          <w:rFonts w:ascii="Calibri" w:eastAsia="Times New Roman" w:hAnsi="Calibri" w:cs="Calibri"/>
          <w:b/>
          <w:bCs/>
          <w:color w:val="222222"/>
          <w:lang w:val="es-ES" w:eastAsia="es-CO"/>
        </w:rPr>
        <w:t>mejoró muchísimo</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Esto nos muestra que venimos por buen camino y se han tomado decisiones acertadas en cabeza el nuevo profesional encargado del proceso.</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La estadística también nos muestra que hemos tenido un gran número de </w:t>
      </w:r>
      <w:r w:rsidRPr="00B34EEA">
        <w:rPr>
          <w:rFonts w:ascii="Calibri" w:eastAsia="Times New Roman" w:hAnsi="Calibri" w:cs="Calibri"/>
          <w:b/>
          <w:bCs/>
          <w:color w:val="222222"/>
          <w:lang w:val="es-ES" w:eastAsia="es-CO"/>
        </w:rPr>
        <w:t>matriculados</w:t>
      </w:r>
      <w:r w:rsidRPr="00B34EEA">
        <w:rPr>
          <w:rFonts w:ascii="Calibri" w:eastAsia="Times New Roman" w:hAnsi="Calibri" w:cs="Calibri"/>
          <w:color w:val="222222"/>
          <w:lang w:val="es-ES" w:eastAsia="es-CO"/>
        </w:rPr>
        <w:t> nuevos, superando en aproximadamente un </w:t>
      </w:r>
      <w:r w:rsidRPr="00B34EEA">
        <w:rPr>
          <w:rFonts w:ascii="Calibri" w:eastAsia="Times New Roman" w:hAnsi="Calibri" w:cs="Calibri"/>
          <w:b/>
          <w:bCs/>
          <w:color w:val="222222"/>
          <w:lang w:val="es-ES" w:eastAsia="es-CO"/>
        </w:rPr>
        <w:t>300%</w:t>
      </w:r>
      <w:r w:rsidRPr="00B34EEA">
        <w:rPr>
          <w:rFonts w:ascii="Calibri" w:eastAsia="Times New Roman" w:hAnsi="Calibri" w:cs="Calibri"/>
          <w:color w:val="222222"/>
          <w:lang w:val="es-ES" w:eastAsia="es-CO"/>
        </w:rPr>
        <w:t> el número de la vigencia anterior. Esto es resultado de un </w:t>
      </w:r>
      <w:r w:rsidRPr="00B34EEA">
        <w:rPr>
          <w:rFonts w:ascii="Calibri" w:eastAsia="Times New Roman" w:hAnsi="Calibri" w:cs="Calibri"/>
          <w:b/>
          <w:bCs/>
          <w:color w:val="222222"/>
          <w:lang w:val="es-ES" w:eastAsia="es-CO"/>
        </w:rPr>
        <w:t>proceso adecuado e innovador</w:t>
      </w:r>
      <w:r w:rsidRPr="00B34EEA">
        <w:rPr>
          <w:rFonts w:ascii="Calibri" w:eastAsia="Times New Roman" w:hAnsi="Calibri" w:cs="Calibri"/>
          <w:color w:val="222222"/>
          <w:lang w:val="es-ES" w:eastAsia="es-CO"/>
        </w:rPr>
        <w:t> de mercadeo que involucró los </w:t>
      </w:r>
      <w:r w:rsidRPr="00B34EEA">
        <w:rPr>
          <w:rFonts w:ascii="Calibri" w:eastAsia="Times New Roman" w:hAnsi="Calibri" w:cs="Calibri"/>
          <w:b/>
          <w:bCs/>
          <w:color w:val="222222"/>
          <w:lang w:val="es-ES" w:eastAsia="es-CO"/>
        </w:rPr>
        <w:t>smartphones,</w:t>
      </w:r>
      <w:r w:rsidRPr="00B34EEA">
        <w:rPr>
          <w:rFonts w:ascii="Calibri" w:eastAsia="Times New Roman" w:hAnsi="Calibri" w:cs="Calibri"/>
          <w:color w:val="222222"/>
          <w:lang w:val="es-ES" w:eastAsia="es-CO"/>
        </w:rPr>
        <w:t> las llamadas telefónicas, los diseños informativos para pantallas móviles y el desarrollo de un nuevo </w:t>
      </w:r>
      <w:r w:rsidRPr="00B34EEA">
        <w:rPr>
          <w:rFonts w:ascii="Calibri" w:eastAsia="Times New Roman" w:hAnsi="Calibri" w:cs="Calibri"/>
          <w:b/>
          <w:bCs/>
          <w:color w:val="222222"/>
          <w:lang w:val="es-ES" w:eastAsia="es-CO"/>
        </w:rPr>
        <w:t>website </w:t>
      </w:r>
      <w:r w:rsidRPr="00B34EEA">
        <w:rPr>
          <w:rFonts w:ascii="Calibri" w:eastAsia="Times New Roman" w:hAnsi="Calibri" w:cs="Calibri"/>
          <w:color w:val="222222"/>
          <w:lang w:val="es-ES" w:eastAsia="es-CO"/>
        </w:rPr>
        <w:t>institucional </w:t>
      </w:r>
      <w:r w:rsidRPr="00B34EEA">
        <w:rPr>
          <w:rFonts w:ascii="Calibri" w:eastAsia="Times New Roman" w:hAnsi="Calibri" w:cs="Calibri"/>
          <w:b/>
          <w:bCs/>
          <w:color w:val="222222"/>
          <w:lang w:val="es-ES" w:eastAsia="es-CO"/>
        </w:rPr>
        <w:t>moderno y atractivo</w:t>
      </w:r>
      <w:r w:rsidRPr="00B34EEA">
        <w:rPr>
          <w:rFonts w:ascii="Calibri" w:eastAsia="Times New Roman" w:hAnsi="Calibri" w:cs="Calibri"/>
          <w:color w:val="222222"/>
          <w:lang w:val="es-ES" w:eastAsia="es-CO"/>
        </w:rPr>
        <w:t> que comunica con una narrativa fresca la propuesta de valor de la institución.</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El fanPage de Facebook también se ha consolidado como una estrategia efectiva llegando a tener crecimientos del 250% y con publicaciones avanzando a cifras de más de 15 mil visualizaciones.</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Nuestra estrategia de free press también nos ha permitido aparecer en medios como eje21, La Patria etc.</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Finalmente, todo el trabajo que se inició el año pasado se ve reflejado en el indicador de nuevas matrículas, en la encuesta de percepción de marca y en las estadísticas de vistas website, consultas fanpage. Todas al</w:t>
      </w:r>
      <w:r w:rsidR="00090694">
        <w:rPr>
          <w:rFonts w:ascii="Calibri" w:eastAsia="Times New Roman" w:hAnsi="Calibri" w:cs="Calibri"/>
          <w:color w:val="222222"/>
          <w:lang w:val="es-ES" w:eastAsia="es-CO"/>
        </w:rPr>
        <w:t xml:space="preserve"> </w:t>
      </w:r>
      <w:r w:rsidRPr="00B34EEA">
        <w:rPr>
          <w:rFonts w:ascii="Calibri" w:eastAsia="Times New Roman" w:hAnsi="Calibri" w:cs="Calibri"/>
          <w:color w:val="222222"/>
          <w:lang w:val="es-ES" w:eastAsia="es-CO"/>
        </w:rPr>
        <w:t>alza, lo que revela un proceso adecuado.</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 </w:t>
      </w:r>
      <w:r w:rsidRPr="00B34EEA">
        <w:rPr>
          <w:rFonts w:ascii="Calibri" w:eastAsia="Times New Roman" w:hAnsi="Calibri" w:cs="Calibri"/>
          <w:b/>
          <w:bCs/>
          <w:color w:val="222222"/>
          <w:lang w:val="es-ES" w:eastAsia="es-CO"/>
        </w:rPr>
        <w:t>NUEVOS RETOS</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 La IES CINOC enfrenta nuevos retos, la proyección con impacto de la labor de investigación, la internacionalización y triplicar el número de matriculados para la nueva vigencia.</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 Para posicionar de manera adecuada al CINOC en esta nueva etapa que involucra difusión de congresos internacionales, encuentros de interés regional y nacional y para seguir en un crecimiento acorde se ha solicitado un presupuesto acorde.</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lastRenderedPageBreak/>
        <w:t xml:space="preserve">Difundir la celebración del congreso internacional de investigación, ruralidad, desarrollo y paz no es labor fácil sin los recursos adecuados y va </w:t>
      </w:r>
      <w:r w:rsidR="00090694" w:rsidRPr="00B34EEA">
        <w:rPr>
          <w:rFonts w:ascii="Calibri" w:eastAsia="Times New Roman" w:hAnsi="Calibri" w:cs="Calibri"/>
          <w:color w:val="222222"/>
          <w:lang w:val="es-ES" w:eastAsia="es-CO"/>
        </w:rPr>
        <w:t>más</w:t>
      </w:r>
      <w:r w:rsidRPr="00B34EEA">
        <w:rPr>
          <w:rFonts w:ascii="Calibri" w:eastAsia="Times New Roman" w:hAnsi="Calibri" w:cs="Calibri"/>
          <w:color w:val="222222"/>
          <w:lang w:val="es-ES" w:eastAsia="es-CO"/>
        </w:rPr>
        <w:t xml:space="preserve"> allá de notificar en correos a las posibles universidades interesadas.</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Así mismo fueron numerosos los estudiantes que no pudieron completar su proceso de matrícula debido a que -a pesar del crecimiento de la comunicación- no fueron alcanzados por la difusión que planteó la oficina de comunicaciones. Siendo reiterada la queja de que no hay suficiente publicidad.</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Queremos una institución renovada que se proyecta sin reservas hacia la internacionalización, segura de sus procesos y que se siente como potencia en la región. Motivos hay de sobra.</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Como hemos visto anteriormente (con los resultados obtenidos) el presupuesto de comunicación no es un gasto, es una INVERSIÓN y es que aparecer 2 minutos en CARACOL TV </w:t>
      </w:r>
      <w:r w:rsidRPr="00B34EEA">
        <w:rPr>
          <w:rFonts w:ascii="Calibri" w:eastAsia="Times New Roman" w:hAnsi="Calibri" w:cs="Calibri"/>
          <w:b/>
          <w:bCs/>
          <w:color w:val="222222"/>
          <w:lang w:val="es-ES" w:eastAsia="es-CO"/>
        </w:rPr>
        <w:t xml:space="preserve">tiene </w:t>
      </w:r>
      <w:r w:rsidR="00090694" w:rsidRPr="00B34EEA">
        <w:rPr>
          <w:rFonts w:ascii="Calibri" w:eastAsia="Times New Roman" w:hAnsi="Calibri" w:cs="Calibri"/>
          <w:b/>
          <w:bCs/>
          <w:color w:val="222222"/>
          <w:lang w:val="es-ES" w:eastAsia="es-CO"/>
        </w:rPr>
        <w:t>un valor</w:t>
      </w:r>
      <w:r w:rsidRPr="00B34EEA">
        <w:rPr>
          <w:rFonts w:ascii="Calibri" w:eastAsia="Times New Roman" w:hAnsi="Calibri" w:cs="Calibri"/>
          <w:color w:val="222222"/>
          <w:lang w:val="es-ES" w:eastAsia="es-CO"/>
        </w:rPr>
        <w:t> en el mercado y de difusión y posicionamiento de marca, que supera cualquier inversión hecha en el área.</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Así que estamos invirtiendo de manera adecuada en el cumplimiento de objetivos de la institución y su posicionamiento.</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 El presupuesto solicitado se usará en la optimización de nuestra difusión ATL , compra de espacios publicitarios en YOUTUBE, Facebook, Instagram y en la creación de un chat bot para WhastApp Bussines. Somos una institución moderna que se proyecta al futuro y estamos destinados a sorprender positivamente.</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val="es-ES" w:eastAsia="es-CO"/>
        </w:rPr>
        <w:t>No es cierto que en el campo no se utilice un smartphone, los resultados lo demuestran, debemos abandonar rápidamente estos romanticismos y proyectarnos sin lástima y con eficacia.</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color w:val="222222"/>
          <w:lang w:eastAsia="es-CO"/>
        </w:rPr>
        <w:t xml:space="preserve">Gran porcentaje de interesados en la matrícula terminaron su proceso a través de smartphones. Para ellos se solicitó con anterioridad 2 smartphones y dos bachilleres operando y contestando llamadas y chats. Propuesta que se consideró desmedida y que la fuerza de la circunstancia </w:t>
      </w:r>
      <w:r w:rsidR="00E52C3D" w:rsidRPr="00B34EEA">
        <w:rPr>
          <w:rFonts w:ascii="Calibri" w:eastAsia="Times New Roman" w:hAnsi="Calibri" w:cs="Calibri"/>
          <w:color w:val="222222"/>
          <w:lang w:eastAsia="es-CO"/>
        </w:rPr>
        <w:t>terminó convirtiendo</w:t>
      </w:r>
      <w:r w:rsidRPr="00B34EEA">
        <w:rPr>
          <w:rFonts w:ascii="Calibri" w:eastAsia="Times New Roman" w:hAnsi="Calibri" w:cs="Calibri"/>
          <w:color w:val="222222"/>
          <w:lang w:eastAsia="es-CO"/>
        </w:rPr>
        <w:t xml:space="preserve"> en realidad.</w:t>
      </w:r>
    </w:p>
    <w:p w:rsidR="00647A7F" w:rsidRPr="00B34EEA" w:rsidRDefault="00647A7F" w:rsidP="00647A7F">
      <w:pPr>
        <w:shd w:val="clear" w:color="auto" w:fill="FFFFFF"/>
        <w:spacing w:after="200" w:line="253" w:lineRule="atLeast"/>
        <w:jc w:val="both"/>
        <w:rPr>
          <w:rFonts w:ascii="Calibri" w:eastAsia="Times New Roman" w:hAnsi="Calibri" w:cs="Calibri"/>
          <w:color w:val="222222"/>
          <w:lang w:eastAsia="es-CO"/>
        </w:rPr>
      </w:pPr>
      <w:r w:rsidRPr="00B34EEA">
        <w:rPr>
          <w:rFonts w:ascii="Calibri" w:eastAsia="Times New Roman" w:hAnsi="Calibri" w:cs="Calibri"/>
          <w:b/>
          <w:bCs/>
          <w:color w:val="222222"/>
          <w:lang w:val="es-ES" w:eastAsia="es-CO"/>
        </w:rPr>
        <w:t>EL FUTURO</w:t>
      </w:r>
    </w:p>
    <w:p w:rsidR="00647A7F" w:rsidRDefault="00647A7F" w:rsidP="00647A7F">
      <w:pPr>
        <w:shd w:val="clear" w:color="auto" w:fill="FFFFFF"/>
        <w:spacing w:after="200" w:line="253" w:lineRule="atLeast"/>
        <w:jc w:val="both"/>
        <w:rPr>
          <w:rFonts w:ascii="Calibri" w:eastAsia="Times New Roman" w:hAnsi="Calibri" w:cs="Calibri"/>
          <w:color w:val="222222"/>
          <w:lang w:val="es-ES" w:eastAsia="es-CO"/>
        </w:rPr>
      </w:pPr>
      <w:r w:rsidRPr="00B34EEA">
        <w:rPr>
          <w:rFonts w:ascii="Calibri" w:eastAsia="Times New Roman" w:hAnsi="Calibri" w:cs="Calibri"/>
          <w:color w:val="222222"/>
          <w:lang w:val="es-ES" w:eastAsia="es-CO"/>
        </w:rPr>
        <w:t>IES CINOC debe estar en el “Top of Mind” de instituciones de educación superior en la región para poder hablar de un objetivo cumplido y de una buena salud comunicativa y en términos de matriculados e impacto positivo en la región. ESTAMOS TRANSFORMANDO REALIDADES Y CREANDO EL PAÍS QUE SOÑAMOS. Y teniendo en cuenta que la inversión en mercadeo se ha recuperado con creces, dar vía libre a este proceso transformativo que crea la comunicación cuando es bien direccionada es cambiar la vida de miles de jóvenes rurales.</w:t>
      </w:r>
    </w:p>
    <w:p w:rsidR="00647A7F" w:rsidRDefault="00647A7F" w:rsidP="00647A7F">
      <w:pPr>
        <w:jc w:val="both"/>
        <w:rPr>
          <w:rFonts w:ascii="Calibri" w:hAnsi="Calibri" w:cs="Calibri"/>
          <w:bCs/>
          <w:sz w:val="20"/>
          <w:szCs w:val="20"/>
        </w:rPr>
      </w:pPr>
      <w:r>
        <w:rPr>
          <w:rFonts w:ascii="Calibri" w:eastAsia="Times New Roman" w:hAnsi="Calibri" w:cs="Calibri"/>
          <w:color w:val="222222"/>
          <w:lang w:val="es-ES" w:eastAsia="es-CO"/>
        </w:rPr>
        <w:t>Por: Vladimir Montes, contratista, coordinador de la oficina de Mercadeo Información y Comunicación –MIC-</w:t>
      </w:r>
    </w:p>
    <w:p w:rsidR="007C49AB" w:rsidRDefault="007C49AB" w:rsidP="00327A94">
      <w:pPr>
        <w:jc w:val="both"/>
        <w:rPr>
          <w:rFonts w:ascii="Calibri" w:hAnsi="Calibri" w:cs="Calibri"/>
          <w:b/>
          <w:bCs/>
          <w:i/>
          <w:sz w:val="20"/>
          <w:szCs w:val="20"/>
          <w:u w:val="single"/>
        </w:rPr>
      </w:pPr>
    </w:p>
    <w:p w:rsidR="006A37F8" w:rsidRDefault="006A37F8" w:rsidP="00327A94">
      <w:pPr>
        <w:jc w:val="both"/>
        <w:rPr>
          <w:rFonts w:ascii="Calibri" w:hAnsi="Calibri" w:cs="Calibri"/>
          <w:b/>
          <w:bCs/>
          <w:i/>
          <w:sz w:val="20"/>
          <w:szCs w:val="20"/>
          <w:u w:val="single"/>
        </w:rPr>
      </w:pPr>
    </w:p>
    <w:p w:rsidR="006A37F8" w:rsidRDefault="006A37F8" w:rsidP="00327A94">
      <w:pPr>
        <w:jc w:val="both"/>
        <w:rPr>
          <w:rFonts w:ascii="Calibri" w:hAnsi="Calibri" w:cs="Calibri"/>
          <w:b/>
          <w:bCs/>
          <w:i/>
          <w:sz w:val="20"/>
          <w:szCs w:val="20"/>
          <w:u w:val="single"/>
        </w:rPr>
      </w:pPr>
    </w:p>
    <w:p w:rsidR="006A37F8" w:rsidRDefault="006A37F8" w:rsidP="00327A94">
      <w:pPr>
        <w:jc w:val="both"/>
        <w:rPr>
          <w:rFonts w:ascii="Calibri" w:hAnsi="Calibri" w:cs="Calibri"/>
          <w:b/>
          <w:bCs/>
          <w:i/>
          <w:sz w:val="20"/>
          <w:szCs w:val="20"/>
          <w:u w:val="single"/>
        </w:rPr>
      </w:pPr>
    </w:p>
    <w:p w:rsidR="006A37F8" w:rsidRDefault="006A37F8" w:rsidP="00327A94">
      <w:pPr>
        <w:jc w:val="both"/>
        <w:rPr>
          <w:rFonts w:ascii="Calibri" w:hAnsi="Calibri" w:cs="Calibri"/>
          <w:b/>
          <w:bCs/>
          <w:i/>
          <w:sz w:val="20"/>
          <w:szCs w:val="20"/>
          <w:u w:val="single"/>
        </w:rPr>
      </w:pPr>
    </w:p>
    <w:p w:rsidR="00C1769A" w:rsidRDefault="00C1769A" w:rsidP="00C1769A">
      <w:pPr>
        <w:jc w:val="both"/>
        <w:rPr>
          <w:rFonts w:ascii="Calibri" w:hAnsi="Calibri" w:cs="Calibri"/>
          <w:b/>
          <w:bCs/>
          <w:i/>
          <w:sz w:val="20"/>
          <w:szCs w:val="20"/>
          <w:u w:val="single"/>
        </w:rPr>
      </w:pPr>
      <w:r>
        <w:rPr>
          <w:rFonts w:ascii="Calibri" w:hAnsi="Calibri" w:cs="Calibri"/>
          <w:b/>
          <w:bCs/>
          <w:i/>
          <w:sz w:val="20"/>
          <w:szCs w:val="20"/>
          <w:u w:val="single"/>
        </w:rPr>
        <w:lastRenderedPageBreak/>
        <w:t>Anexo 4</w:t>
      </w:r>
    </w:p>
    <w:p w:rsidR="00C1769A" w:rsidRDefault="00C1769A" w:rsidP="00C1769A">
      <w:pPr>
        <w:jc w:val="both"/>
      </w:pPr>
      <w:r>
        <w:t>Con base en lo solicitado por el Consejo Directivo para la justificación de la aplicación de los excedentes de 2019, a continuación, presento la proyección de horas cátedra necesarias para desarrollar los distintos procesos académicos de la institución, las cuales son cubiertas con docentes de carrera, ocasionales y catedráticos.</w:t>
      </w:r>
    </w:p>
    <w:p w:rsidR="00C1769A" w:rsidRDefault="00C1769A" w:rsidP="00C1769A">
      <w:pPr>
        <w:jc w:val="both"/>
      </w:pPr>
      <w:r>
        <w:t>La nueva realidad dada por el aumento en el número de estudiantes y de cursos, y la apertura de nuevas líneas como son la ruralidad y regionalización, las cuales surgieron a partir de los planes de fomento a la calidad – PFC-,  nos llevan a reconfigurar la proyección de horas cátedras necesarias, las cuales pasaron de un cálculo inicial de 29.952, que fue la base realizada en julio de 2019 para el presupuesto de 2020, a una estimación actual de 34.752 horas cátedra, que serán cubiertas por docentes de carrera, ocasionales y catedráticos, de acuerdo con la siguiente distribución planteada para los períodos A y B de 2020.</w:t>
      </w:r>
    </w:p>
    <w:p w:rsidR="00C1769A" w:rsidRDefault="00C1769A" w:rsidP="00C1769A">
      <w:r>
        <w:fldChar w:fldCharType="begin"/>
      </w:r>
      <w:r>
        <w:instrText xml:space="preserve"> LINK Excel.Sheet.12 "C:\\Users\\Vicerrectoria\\Dropbox\\IES CINOC\\Planeación\\Ppto - MIPG\\Proyección Docentes Horas 2020 - V2.xlsx" "Resumen!F3C1:F15C8" \a \f 4 \h  \* MERGEFORMAT </w:instrText>
      </w:r>
      <w:r>
        <w:fldChar w:fldCharType="separate"/>
      </w:r>
    </w:p>
    <w:tbl>
      <w:tblPr>
        <w:tblW w:w="10427" w:type="dxa"/>
        <w:tblInd w:w="-698" w:type="dxa"/>
        <w:tblCellMar>
          <w:left w:w="70" w:type="dxa"/>
          <w:right w:w="70" w:type="dxa"/>
        </w:tblCellMar>
        <w:tblLook w:val="04A0" w:firstRow="1" w:lastRow="0" w:firstColumn="1" w:lastColumn="0" w:noHBand="0" w:noVBand="1"/>
      </w:tblPr>
      <w:tblGrid>
        <w:gridCol w:w="1856"/>
        <w:gridCol w:w="1224"/>
        <w:gridCol w:w="1224"/>
        <w:gridCol w:w="1225"/>
        <w:gridCol w:w="1224"/>
        <w:gridCol w:w="1225"/>
        <w:gridCol w:w="1224"/>
        <w:gridCol w:w="1225"/>
      </w:tblGrid>
      <w:tr w:rsidR="00C1769A" w:rsidRPr="00BD2C18" w:rsidTr="00421A66">
        <w:trPr>
          <w:trHeight w:val="285"/>
        </w:trPr>
        <w:tc>
          <w:tcPr>
            <w:tcW w:w="1856"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 Período A</w:t>
            </w: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r>
      <w:tr w:rsidR="00C1769A" w:rsidRPr="00BD2C18" w:rsidTr="00421A66">
        <w:trPr>
          <w:trHeight w:val="285"/>
        </w:trPr>
        <w:tc>
          <w:tcPr>
            <w:tcW w:w="1856"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1224"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r>
      <w:tr w:rsidR="00C1769A" w:rsidRPr="00BD2C18" w:rsidTr="00421A66">
        <w:trPr>
          <w:trHeight w:val="285"/>
        </w:trPr>
        <w:tc>
          <w:tcPr>
            <w:tcW w:w="1856"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Concepto</w:t>
            </w:r>
          </w:p>
        </w:tc>
        <w:tc>
          <w:tcPr>
            <w:tcW w:w="1224"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No Horas</w:t>
            </w:r>
          </w:p>
        </w:tc>
        <w:tc>
          <w:tcPr>
            <w:tcW w:w="2449"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Docentes Planta</w:t>
            </w:r>
          </w:p>
        </w:tc>
        <w:tc>
          <w:tcPr>
            <w:tcW w:w="2449" w:type="dxa"/>
            <w:gridSpan w:val="2"/>
            <w:tcBorders>
              <w:top w:val="single" w:sz="4" w:space="0" w:color="auto"/>
              <w:left w:val="nil"/>
              <w:bottom w:val="nil"/>
              <w:right w:val="nil"/>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Docentes Ocasionales</w:t>
            </w:r>
          </w:p>
        </w:tc>
        <w:tc>
          <w:tcPr>
            <w:tcW w:w="2449"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Catedráticos</w:t>
            </w:r>
          </w:p>
        </w:tc>
      </w:tr>
      <w:tr w:rsidR="00C1769A" w:rsidRPr="00BD2C18" w:rsidTr="00421A66">
        <w:trPr>
          <w:trHeight w:val="285"/>
        </w:trPr>
        <w:tc>
          <w:tcPr>
            <w:tcW w:w="1856" w:type="dxa"/>
            <w:vMerge/>
            <w:tcBorders>
              <w:top w:val="single" w:sz="4" w:space="0" w:color="auto"/>
              <w:left w:val="single" w:sz="4" w:space="0" w:color="auto"/>
              <w:bottom w:val="single" w:sz="4" w:space="0" w:color="000000"/>
              <w:right w:val="single" w:sz="4" w:space="0" w:color="auto"/>
            </w:tcBorders>
            <w:vAlign w:val="center"/>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proofErr w:type="spellStart"/>
            <w:r w:rsidRPr="00BD2C18">
              <w:rPr>
                <w:rFonts w:ascii="Calibri" w:eastAsia="Times New Roman" w:hAnsi="Calibri" w:cs="Calibri"/>
                <w:b/>
                <w:bCs/>
                <w:color w:val="000000"/>
                <w:sz w:val="24"/>
                <w:szCs w:val="24"/>
                <w:lang w:eastAsia="es-CO"/>
              </w:rPr>
              <w:t>Cant</w:t>
            </w:r>
            <w:proofErr w:type="spellEnd"/>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No Horas</w:t>
            </w:r>
          </w:p>
        </w:tc>
        <w:tc>
          <w:tcPr>
            <w:tcW w:w="1224" w:type="dxa"/>
            <w:tcBorders>
              <w:top w:val="single" w:sz="4" w:space="0" w:color="auto"/>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proofErr w:type="spellStart"/>
            <w:r w:rsidRPr="00BD2C18">
              <w:rPr>
                <w:rFonts w:ascii="Calibri" w:eastAsia="Times New Roman" w:hAnsi="Calibri" w:cs="Calibri"/>
                <w:b/>
                <w:bCs/>
                <w:color w:val="000000"/>
                <w:sz w:val="24"/>
                <w:szCs w:val="24"/>
                <w:lang w:eastAsia="es-CO"/>
              </w:rPr>
              <w:t>Cant</w:t>
            </w:r>
            <w:proofErr w:type="spellEnd"/>
          </w:p>
        </w:tc>
        <w:tc>
          <w:tcPr>
            <w:tcW w:w="1224" w:type="dxa"/>
            <w:tcBorders>
              <w:top w:val="single" w:sz="4" w:space="0" w:color="auto"/>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No Horas</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proofErr w:type="spellStart"/>
            <w:r w:rsidRPr="00BD2C18">
              <w:rPr>
                <w:rFonts w:ascii="Calibri" w:eastAsia="Times New Roman" w:hAnsi="Calibri" w:cs="Calibri"/>
                <w:b/>
                <w:bCs/>
                <w:color w:val="000000"/>
                <w:sz w:val="24"/>
                <w:szCs w:val="24"/>
                <w:lang w:eastAsia="es-CO"/>
              </w:rPr>
              <w:t>Cant</w:t>
            </w:r>
            <w:proofErr w:type="spellEnd"/>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No Horas</w:t>
            </w:r>
          </w:p>
        </w:tc>
      </w:tr>
      <w:tr w:rsidR="00C1769A" w:rsidRPr="00BD2C18" w:rsidTr="00421A66">
        <w:trPr>
          <w:trHeight w:val="28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r>
      <w:tr w:rsidR="00C1769A" w:rsidRPr="00BD2C18" w:rsidTr="00421A66">
        <w:trPr>
          <w:trHeight w:val="28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Pensilvania</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5840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11</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2288</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5</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1600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28</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1952</w:t>
            </w:r>
          </w:p>
        </w:tc>
      </w:tr>
      <w:tr w:rsidR="00C1769A" w:rsidRPr="00BD2C18" w:rsidTr="00421A66">
        <w:trPr>
          <w:trHeight w:val="28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Extensiones</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1248</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18</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1248</w:t>
            </w:r>
          </w:p>
        </w:tc>
      </w:tr>
      <w:tr w:rsidR="00C1769A" w:rsidRPr="00BD2C18" w:rsidTr="00421A66">
        <w:trPr>
          <w:trHeight w:val="28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Universidad Campo</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976</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14</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976</w:t>
            </w:r>
          </w:p>
        </w:tc>
      </w:tr>
      <w:tr w:rsidR="00C1769A" w:rsidRPr="00BD2C18" w:rsidTr="00421A66">
        <w:trPr>
          <w:trHeight w:val="28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Articulación IEM</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544</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8</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544</w:t>
            </w:r>
          </w:p>
        </w:tc>
      </w:tr>
      <w:tr w:rsidR="00C1769A" w:rsidRPr="00BD2C18" w:rsidTr="00421A66">
        <w:trPr>
          <w:trHeight w:val="28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Ruralidad</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1120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16</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1120</w:t>
            </w:r>
          </w:p>
        </w:tc>
      </w:tr>
      <w:tr w:rsidR="00C1769A" w:rsidRPr="00BD2C18" w:rsidTr="00421A66">
        <w:trPr>
          <w:trHeight w:val="28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Coordinaciones</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6984</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480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6504</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224"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r>
      <w:tr w:rsidR="00C1769A" w:rsidRPr="00BD2C18" w:rsidTr="00421A66">
        <w:trPr>
          <w:trHeight w:val="285"/>
        </w:trPr>
        <w:tc>
          <w:tcPr>
            <w:tcW w:w="1856" w:type="dxa"/>
            <w:tcBorders>
              <w:top w:val="nil"/>
              <w:left w:val="single" w:sz="4" w:space="0" w:color="auto"/>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Total</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16712</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12</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2768</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15</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8104</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83</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5840</w:t>
            </w:r>
          </w:p>
        </w:tc>
      </w:tr>
      <w:tr w:rsidR="00C1769A" w:rsidRPr="00BD2C18" w:rsidTr="00421A66">
        <w:trPr>
          <w:trHeight w:val="285"/>
        </w:trPr>
        <w:tc>
          <w:tcPr>
            <w:tcW w:w="1856" w:type="dxa"/>
            <w:tcBorders>
              <w:top w:val="nil"/>
              <w:left w:val="single" w:sz="4" w:space="0" w:color="auto"/>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Porcentaje</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100%</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 </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17%</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 </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48%</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 </w:t>
            </w:r>
          </w:p>
        </w:tc>
        <w:tc>
          <w:tcPr>
            <w:tcW w:w="1224"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35%</w:t>
            </w:r>
          </w:p>
        </w:tc>
      </w:tr>
    </w:tbl>
    <w:p w:rsidR="00C1769A" w:rsidRDefault="00C1769A" w:rsidP="00C1769A">
      <w:r>
        <w:fldChar w:fldCharType="end"/>
      </w:r>
    </w:p>
    <w:p w:rsidR="00C1769A" w:rsidRDefault="00C1769A" w:rsidP="00C1769A">
      <w:r>
        <w:t xml:space="preserve">  </w:t>
      </w:r>
    </w:p>
    <w:tbl>
      <w:tblPr>
        <w:tblW w:w="11966" w:type="dxa"/>
        <w:tblInd w:w="-1551" w:type="dxa"/>
        <w:tblCellMar>
          <w:left w:w="70" w:type="dxa"/>
          <w:right w:w="70" w:type="dxa"/>
        </w:tblCellMar>
        <w:tblLook w:val="04A0" w:firstRow="1" w:lastRow="0" w:firstColumn="1" w:lastColumn="0" w:noHBand="0" w:noVBand="1"/>
      </w:tblPr>
      <w:tblGrid>
        <w:gridCol w:w="726"/>
        <w:gridCol w:w="924"/>
        <w:gridCol w:w="777"/>
        <w:gridCol w:w="299"/>
        <w:gridCol w:w="478"/>
        <w:gridCol w:w="778"/>
        <w:gridCol w:w="64"/>
        <w:gridCol w:w="713"/>
        <w:gridCol w:w="607"/>
        <w:gridCol w:w="171"/>
        <w:gridCol w:w="777"/>
        <w:gridCol w:w="372"/>
        <w:gridCol w:w="406"/>
        <w:gridCol w:w="914"/>
        <w:gridCol w:w="1320"/>
        <w:gridCol w:w="1320"/>
        <w:gridCol w:w="1320"/>
      </w:tblGrid>
      <w:tr w:rsidR="00C1769A" w:rsidRPr="00027EE8" w:rsidTr="00421A66">
        <w:trPr>
          <w:gridAfter w:val="4"/>
          <w:wAfter w:w="4874" w:type="dxa"/>
          <w:trHeight w:val="86"/>
        </w:trPr>
        <w:tc>
          <w:tcPr>
            <w:tcW w:w="1650" w:type="dxa"/>
            <w:gridSpan w:val="2"/>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Calibri" w:eastAsia="Times New Roman" w:hAnsi="Calibri" w:cs="Calibri"/>
                <w:color w:val="000000"/>
                <w:sz w:val="24"/>
                <w:szCs w:val="24"/>
                <w:lang w:eastAsia="es-CO"/>
              </w:rPr>
            </w:pPr>
          </w:p>
        </w:tc>
        <w:tc>
          <w:tcPr>
            <w:tcW w:w="777" w:type="dxa"/>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Calibri" w:eastAsia="Times New Roman" w:hAnsi="Calibri" w:cs="Calibri"/>
                <w:color w:val="000000"/>
                <w:sz w:val="24"/>
                <w:szCs w:val="24"/>
                <w:lang w:eastAsia="es-CO"/>
              </w:rPr>
            </w:pPr>
          </w:p>
        </w:tc>
        <w:tc>
          <w:tcPr>
            <w:tcW w:w="777" w:type="dxa"/>
            <w:gridSpan w:val="2"/>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c>
          <w:tcPr>
            <w:tcW w:w="778" w:type="dxa"/>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c>
          <w:tcPr>
            <w:tcW w:w="777" w:type="dxa"/>
            <w:gridSpan w:val="2"/>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c>
          <w:tcPr>
            <w:tcW w:w="778" w:type="dxa"/>
            <w:gridSpan w:val="2"/>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c>
          <w:tcPr>
            <w:tcW w:w="777" w:type="dxa"/>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c>
          <w:tcPr>
            <w:tcW w:w="778" w:type="dxa"/>
            <w:gridSpan w:val="2"/>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r>
      <w:tr w:rsidR="00C1769A" w:rsidRPr="00BD2C18" w:rsidTr="00421A66">
        <w:trPr>
          <w:gridAfter w:val="4"/>
          <w:wAfter w:w="4874" w:type="dxa"/>
          <w:trHeight w:val="86"/>
        </w:trPr>
        <w:tc>
          <w:tcPr>
            <w:tcW w:w="1650" w:type="dxa"/>
            <w:gridSpan w:val="2"/>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2. Período B</w:t>
            </w:r>
          </w:p>
        </w:tc>
        <w:tc>
          <w:tcPr>
            <w:tcW w:w="777"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p>
        </w:tc>
        <w:tc>
          <w:tcPr>
            <w:tcW w:w="777" w:type="dxa"/>
            <w:gridSpan w:val="2"/>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778"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777" w:type="dxa"/>
            <w:gridSpan w:val="2"/>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778" w:type="dxa"/>
            <w:gridSpan w:val="2"/>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777"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778" w:type="dxa"/>
            <w:gridSpan w:val="2"/>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r>
      <w:tr w:rsidR="00C1769A" w:rsidRPr="00BD2C18" w:rsidTr="00421A66">
        <w:trPr>
          <w:gridAfter w:val="4"/>
          <w:wAfter w:w="4874" w:type="dxa"/>
          <w:trHeight w:val="86"/>
        </w:trPr>
        <w:tc>
          <w:tcPr>
            <w:tcW w:w="1650" w:type="dxa"/>
            <w:gridSpan w:val="2"/>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p>
        </w:tc>
        <w:tc>
          <w:tcPr>
            <w:tcW w:w="777"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p>
        </w:tc>
        <w:tc>
          <w:tcPr>
            <w:tcW w:w="777" w:type="dxa"/>
            <w:gridSpan w:val="2"/>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778"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777" w:type="dxa"/>
            <w:gridSpan w:val="2"/>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778" w:type="dxa"/>
            <w:gridSpan w:val="2"/>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777" w:type="dxa"/>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c>
          <w:tcPr>
            <w:tcW w:w="778" w:type="dxa"/>
            <w:gridSpan w:val="2"/>
            <w:tcBorders>
              <w:top w:val="nil"/>
              <w:left w:val="nil"/>
              <w:bottom w:val="nil"/>
              <w:right w:val="nil"/>
            </w:tcBorders>
            <w:shd w:val="clear" w:color="auto" w:fill="auto"/>
            <w:noWrap/>
            <w:vAlign w:val="bottom"/>
            <w:hideMark/>
          </w:tcPr>
          <w:p w:rsidR="00C1769A" w:rsidRPr="00BD2C18" w:rsidRDefault="00C1769A" w:rsidP="00421A66">
            <w:pPr>
              <w:spacing w:after="0" w:line="240" w:lineRule="auto"/>
              <w:rPr>
                <w:rFonts w:ascii="Times New Roman" w:eastAsia="Times New Roman" w:hAnsi="Times New Roman" w:cs="Times New Roman"/>
                <w:sz w:val="20"/>
                <w:szCs w:val="20"/>
                <w:lang w:eastAsia="es-CO"/>
              </w:rPr>
            </w:pPr>
          </w:p>
        </w:tc>
      </w:tr>
      <w:tr w:rsidR="00C1769A" w:rsidRPr="00BD2C18" w:rsidTr="00421A66">
        <w:trPr>
          <w:gridBefore w:val="1"/>
          <w:wBefore w:w="726" w:type="dxa"/>
          <w:trHeight w:val="315"/>
        </w:trPr>
        <w:tc>
          <w:tcPr>
            <w:tcW w:w="2000" w:type="dxa"/>
            <w:gridSpan w:val="3"/>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Concepto</w:t>
            </w:r>
          </w:p>
        </w:tc>
        <w:tc>
          <w:tcPr>
            <w:tcW w:w="1320" w:type="dxa"/>
            <w:gridSpan w:val="3"/>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No Horas</w:t>
            </w:r>
          </w:p>
        </w:tc>
        <w:tc>
          <w:tcPr>
            <w:tcW w:w="2640" w:type="dxa"/>
            <w:gridSpan w:val="5"/>
            <w:tcBorders>
              <w:top w:val="single" w:sz="4" w:space="0" w:color="auto"/>
              <w:left w:val="nil"/>
              <w:bottom w:val="single" w:sz="4" w:space="0" w:color="auto"/>
              <w:right w:val="single" w:sz="4" w:space="0" w:color="000000"/>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Docentes Planta</w:t>
            </w:r>
          </w:p>
        </w:tc>
        <w:tc>
          <w:tcPr>
            <w:tcW w:w="2640" w:type="dxa"/>
            <w:gridSpan w:val="3"/>
            <w:tcBorders>
              <w:top w:val="single" w:sz="4" w:space="0" w:color="auto"/>
              <w:left w:val="nil"/>
              <w:bottom w:val="nil"/>
              <w:right w:val="nil"/>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Docentes Ocasionales</w:t>
            </w:r>
          </w:p>
        </w:tc>
        <w:tc>
          <w:tcPr>
            <w:tcW w:w="264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Catedráticos</w:t>
            </w:r>
          </w:p>
        </w:tc>
      </w:tr>
      <w:tr w:rsidR="00C1769A" w:rsidRPr="00BD2C18" w:rsidTr="00421A66">
        <w:trPr>
          <w:gridBefore w:val="1"/>
          <w:wBefore w:w="726" w:type="dxa"/>
          <w:trHeight w:val="315"/>
        </w:trPr>
        <w:tc>
          <w:tcPr>
            <w:tcW w:w="2000" w:type="dxa"/>
            <w:gridSpan w:val="3"/>
            <w:vMerge/>
            <w:tcBorders>
              <w:top w:val="single" w:sz="4" w:space="0" w:color="auto"/>
              <w:left w:val="single" w:sz="4" w:space="0" w:color="auto"/>
              <w:bottom w:val="single" w:sz="4" w:space="0" w:color="000000"/>
              <w:right w:val="single" w:sz="4" w:space="0" w:color="auto"/>
            </w:tcBorders>
            <w:vAlign w:val="center"/>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p>
        </w:tc>
        <w:tc>
          <w:tcPr>
            <w:tcW w:w="1320" w:type="dxa"/>
            <w:gridSpan w:val="3"/>
            <w:vMerge/>
            <w:tcBorders>
              <w:top w:val="single" w:sz="4" w:space="0" w:color="auto"/>
              <w:left w:val="single" w:sz="4" w:space="0" w:color="auto"/>
              <w:bottom w:val="single" w:sz="4" w:space="0" w:color="000000"/>
              <w:right w:val="single" w:sz="4" w:space="0" w:color="auto"/>
            </w:tcBorders>
            <w:vAlign w:val="center"/>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p>
        </w:tc>
        <w:tc>
          <w:tcPr>
            <w:tcW w:w="1320" w:type="dxa"/>
            <w:gridSpan w:val="2"/>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Cant</w:t>
            </w:r>
          </w:p>
        </w:tc>
        <w:tc>
          <w:tcPr>
            <w:tcW w:w="1320" w:type="dxa"/>
            <w:gridSpan w:val="3"/>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No Horas</w:t>
            </w:r>
          </w:p>
        </w:tc>
        <w:tc>
          <w:tcPr>
            <w:tcW w:w="1320"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Cant</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No Horas</w:t>
            </w:r>
          </w:p>
        </w:tc>
        <w:tc>
          <w:tcPr>
            <w:tcW w:w="1320"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Cant</w:t>
            </w:r>
          </w:p>
        </w:tc>
        <w:tc>
          <w:tcPr>
            <w:tcW w:w="1320"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No Horas</w:t>
            </w:r>
          </w:p>
        </w:tc>
      </w:tr>
      <w:tr w:rsidR="00C1769A" w:rsidRPr="00BD2C18" w:rsidTr="00421A66">
        <w:trPr>
          <w:gridBefore w:val="1"/>
          <w:wBefore w:w="726" w:type="dxa"/>
          <w:trHeight w:val="315"/>
        </w:trPr>
        <w:tc>
          <w:tcPr>
            <w:tcW w:w="2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 </w:t>
            </w:r>
          </w:p>
        </w:tc>
      </w:tr>
      <w:tr w:rsidR="00C1769A" w:rsidRPr="00BD2C18" w:rsidTr="00421A66">
        <w:trPr>
          <w:gridBefore w:val="1"/>
          <w:wBefore w:w="726" w:type="dxa"/>
          <w:trHeight w:val="315"/>
        </w:trPr>
        <w:tc>
          <w:tcPr>
            <w:tcW w:w="2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Pensilvania</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6624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13</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2912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3</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960</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39</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2752</w:t>
            </w:r>
          </w:p>
        </w:tc>
      </w:tr>
      <w:tr w:rsidR="00C1769A" w:rsidRPr="00BD2C18" w:rsidTr="00421A66">
        <w:trPr>
          <w:gridBefore w:val="1"/>
          <w:wBefore w:w="726" w:type="dxa"/>
          <w:trHeight w:val="315"/>
        </w:trPr>
        <w:tc>
          <w:tcPr>
            <w:tcW w:w="2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Extensiones</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1776</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25</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1776</w:t>
            </w:r>
          </w:p>
        </w:tc>
      </w:tr>
      <w:tr w:rsidR="00C1769A" w:rsidRPr="00BD2C18" w:rsidTr="00421A66">
        <w:trPr>
          <w:gridBefore w:val="1"/>
          <w:wBefore w:w="726" w:type="dxa"/>
          <w:trHeight w:val="315"/>
        </w:trPr>
        <w:tc>
          <w:tcPr>
            <w:tcW w:w="2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Universidad Campo</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976</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14</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976</w:t>
            </w:r>
          </w:p>
        </w:tc>
      </w:tr>
      <w:tr w:rsidR="00C1769A" w:rsidRPr="00BD2C18" w:rsidTr="00421A66">
        <w:trPr>
          <w:gridBefore w:val="1"/>
          <w:wBefore w:w="726" w:type="dxa"/>
          <w:trHeight w:val="315"/>
        </w:trPr>
        <w:tc>
          <w:tcPr>
            <w:tcW w:w="2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Articulación IEM</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576</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8</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576</w:t>
            </w:r>
          </w:p>
        </w:tc>
      </w:tr>
      <w:tr w:rsidR="00C1769A" w:rsidRPr="00BD2C18" w:rsidTr="00421A66">
        <w:trPr>
          <w:gridBefore w:val="1"/>
          <w:wBefore w:w="726" w:type="dxa"/>
          <w:trHeight w:val="315"/>
        </w:trPr>
        <w:tc>
          <w:tcPr>
            <w:tcW w:w="2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lastRenderedPageBreak/>
              <w:t>Ruralidad</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1104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16</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1104</w:t>
            </w:r>
          </w:p>
        </w:tc>
      </w:tr>
      <w:tr w:rsidR="00C1769A" w:rsidRPr="00BD2C18" w:rsidTr="00421A66">
        <w:trPr>
          <w:gridBefore w:val="1"/>
          <w:wBefore w:w="726" w:type="dxa"/>
          <w:trHeight w:val="315"/>
        </w:trPr>
        <w:tc>
          <w:tcPr>
            <w:tcW w:w="2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Coordinaciones</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6984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4</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3120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6</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3864</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center"/>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c>
          <w:tcPr>
            <w:tcW w:w="1320" w:type="dxa"/>
            <w:tcBorders>
              <w:top w:val="nil"/>
              <w:left w:val="nil"/>
              <w:bottom w:val="single" w:sz="4" w:space="0" w:color="auto"/>
              <w:right w:val="single" w:sz="4" w:space="0" w:color="auto"/>
            </w:tcBorders>
            <w:shd w:val="clear" w:color="auto" w:fill="auto"/>
            <w:noWrap/>
            <w:vAlign w:val="bottom"/>
            <w:hideMark/>
          </w:tcPr>
          <w:p w:rsidR="00C1769A" w:rsidRPr="00BD2C18" w:rsidRDefault="00C1769A" w:rsidP="00421A66">
            <w:pPr>
              <w:spacing w:after="0" w:line="240" w:lineRule="auto"/>
              <w:jc w:val="right"/>
              <w:rPr>
                <w:rFonts w:ascii="Calibri" w:eastAsia="Times New Roman" w:hAnsi="Calibri" w:cs="Calibri"/>
                <w:color w:val="000000"/>
                <w:sz w:val="24"/>
                <w:szCs w:val="24"/>
                <w:lang w:eastAsia="es-CO"/>
              </w:rPr>
            </w:pPr>
            <w:r w:rsidRPr="00BD2C18">
              <w:rPr>
                <w:rFonts w:ascii="Calibri" w:eastAsia="Times New Roman" w:hAnsi="Calibri" w:cs="Calibri"/>
                <w:color w:val="000000"/>
                <w:sz w:val="24"/>
                <w:szCs w:val="24"/>
                <w:lang w:eastAsia="es-CO"/>
              </w:rPr>
              <w:t>0</w:t>
            </w:r>
          </w:p>
        </w:tc>
      </w:tr>
      <w:tr w:rsidR="00C1769A" w:rsidRPr="00BD2C18" w:rsidTr="00421A66">
        <w:trPr>
          <w:gridBefore w:val="1"/>
          <w:wBefore w:w="726" w:type="dxa"/>
          <w:trHeight w:val="315"/>
        </w:trPr>
        <w:tc>
          <w:tcPr>
            <w:tcW w:w="2000" w:type="dxa"/>
            <w:gridSpan w:val="3"/>
            <w:tcBorders>
              <w:top w:val="nil"/>
              <w:left w:val="single" w:sz="4" w:space="0" w:color="auto"/>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Total</w:t>
            </w:r>
          </w:p>
        </w:tc>
        <w:tc>
          <w:tcPr>
            <w:tcW w:w="1320" w:type="dxa"/>
            <w:gridSpan w:val="3"/>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18040</w:t>
            </w:r>
          </w:p>
        </w:tc>
        <w:tc>
          <w:tcPr>
            <w:tcW w:w="1320" w:type="dxa"/>
            <w:gridSpan w:val="2"/>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17</w:t>
            </w:r>
          </w:p>
        </w:tc>
        <w:tc>
          <w:tcPr>
            <w:tcW w:w="1320" w:type="dxa"/>
            <w:gridSpan w:val="3"/>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6032</w:t>
            </w:r>
          </w:p>
        </w:tc>
        <w:tc>
          <w:tcPr>
            <w:tcW w:w="1320" w:type="dxa"/>
            <w:gridSpan w:val="2"/>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9</w:t>
            </w:r>
          </w:p>
        </w:tc>
        <w:tc>
          <w:tcPr>
            <w:tcW w:w="1320"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4824</w:t>
            </w:r>
          </w:p>
        </w:tc>
        <w:tc>
          <w:tcPr>
            <w:tcW w:w="1320"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center"/>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103</w:t>
            </w:r>
          </w:p>
        </w:tc>
        <w:tc>
          <w:tcPr>
            <w:tcW w:w="1320"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7184</w:t>
            </w:r>
          </w:p>
        </w:tc>
      </w:tr>
      <w:tr w:rsidR="00C1769A" w:rsidRPr="00BD2C18" w:rsidTr="00421A66">
        <w:trPr>
          <w:gridBefore w:val="1"/>
          <w:wBefore w:w="726" w:type="dxa"/>
          <w:trHeight w:val="315"/>
        </w:trPr>
        <w:tc>
          <w:tcPr>
            <w:tcW w:w="2000" w:type="dxa"/>
            <w:gridSpan w:val="3"/>
            <w:tcBorders>
              <w:top w:val="nil"/>
              <w:left w:val="single" w:sz="4" w:space="0" w:color="auto"/>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Porcentaje</w:t>
            </w:r>
          </w:p>
        </w:tc>
        <w:tc>
          <w:tcPr>
            <w:tcW w:w="1320" w:type="dxa"/>
            <w:gridSpan w:val="3"/>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100%</w:t>
            </w:r>
          </w:p>
        </w:tc>
        <w:tc>
          <w:tcPr>
            <w:tcW w:w="1320" w:type="dxa"/>
            <w:gridSpan w:val="2"/>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 </w:t>
            </w:r>
          </w:p>
        </w:tc>
        <w:tc>
          <w:tcPr>
            <w:tcW w:w="1320" w:type="dxa"/>
            <w:gridSpan w:val="3"/>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33%</w:t>
            </w:r>
          </w:p>
        </w:tc>
        <w:tc>
          <w:tcPr>
            <w:tcW w:w="1320" w:type="dxa"/>
            <w:gridSpan w:val="2"/>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 </w:t>
            </w:r>
          </w:p>
        </w:tc>
        <w:tc>
          <w:tcPr>
            <w:tcW w:w="1320"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27%</w:t>
            </w:r>
          </w:p>
        </w:tc>
        <w:tc>
          <w:tcPr>
            <w:tcW w:w="1320"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 </w:t>
            </w:r>
          </w:p>
        </w:tc>
        <w:tc>
          <w:tcPr>
            <w:tcW w:w="1320" w:type="dxa"/>
            <w:tcBorders>
              <w:top w:val="nil"/>
              <w:left w:val="nil"/>
              <w:bottom w:val="single" w:sz="4" w:space="0" w:color="auto"/>
              <w:right w:val="single" w:sz="4" w:space="0" w:color="auto"/>
            </w:tcBorders>
            <w:shd w:val="clear" w:color="000000" w:fill="FFFF00"/>
            <w:noWrap/>
            <w:vAlign w:val="bottom"/>
            <w:hideMark/>
          </w:tcPr>
          <w:p w:rsidR="00C1769A" w:rsidRPr="00BD2C18" w:rsidRDefault="00C1769A" w:rsidP="00421A66">
            <w:pPr>
              <w:spacing w:after="0" w:line="240" w:lineRule="auto"/>
              <w:jc w:val="right"/>
              <w:rPr>
                <w:rFonts w:ascii="Calibri" w:eastAsia="Times New Roman" w:hAnsi="Calibri" w:cs="Calibri"/>
                <w:b/>
                <w:bCs/>
                <w:color w:val="000000"/>
                <w:sz w:val="24"/>
                <w:szCs w:val="24"/>
                <w:lang w:eastAsia="es-CO"/>
              </w:rPr>
            </w:pPr>
            <w:r w:rsidRPr="00BD2C18">
              <w:rPr>
                <w:rFonts w:ascii="Calibri" w:eastAsia="Times New Roman" w:hAnsi="Calibri" w:cs="Calibri"/>
                <w:b/>
                <w:bCs/>
                <w:color w:val="000000"/>
                <w:sz w:val="24"/>
                <w:szCs w:val="24"/>
                <w:lang w:eastAsia="es-CO"/>
              </w:rPr>
              <w:t>40%</w:t>
            </w:r>
          </w:p>
        </w:tc>
      </w:tr>
      <w:tr w:rsidR="00C1769A" w:rsidRPr="00027EE8" w:rsidTr="00421A66">
        <w:trPr>
          <w:gridAfter w:val="4"/>
          <w:wAfter w:w="4874" w:type="dxa"/>
          <w:trHeight w:val="86"/>
        </w:trPr>
        <w:tc>
          <w:tcPr>
            <w:tcW w:w="1650" w:type="dxa"/>
            <w:gridSpan w:val="2"/>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c>
          <w:tcPr>
            <w:tcW w:w="777" w:type="dxa"/>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c>
          <w:tcPr>
            <w:tcW w:w="777" w:type="dxa"/>
            <w:gridSpan w:val="2"/>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c>
          <w:tcPr>
            <w:tcW w:w="778" w:type="dxa"/>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c>
          <w:tcPr>
            <w:tcW w:w="777" w:type="dxa"/>
            <w:gridSpan w:val="2"/>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c>
          <w:tcPr>
            <w:tcW w:w="778" w:type="dxa"/>
            <w:gridSpan w:val="2"/>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c>
          <w:tcPr>
            <w:tcW w:w="777" w:type="dxa"/>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c>
          <w:tcPr>
            <w:tcW w:w="778" w:type="dxa"/>
            <w:gridSpan w:val="2"/>
            <w:tcBorders>
              <w:top w:val="nil"/>
              <w:left w:val="nil"/>
              <w:bottom w:val="nil"/>
              <w:right w:val="nil"/>
            </w:tcBorders>
            <w:shd w:val="clear" w:color="auto" w:fill="auto"/>
            <w:noWrap/>
            <w:vAlign w:val="bottom"/>
            <w:hideMark/>
          </w:tcPr>
          <w:p w:rsidR="00C1769A" w:rsidRPr="00027EE8" w:rsidRDefault="00C1769A" w:rsidP="00421A66">
            <w:pPr>
              <w:spacing w:after="0" w:line="240" w:lineRule="auto"/>
              <w:rPr>
                <w:rFonts w:ascii="Times New Roman" w:eastAsia="Times New Roman" w:hAnsi="Times New Roman" w:cs="Times New Roman"/>
                <w:sz w:val="20"/>
                <w:szCs w:val="20"/>
                <w:lang w:eastAsia="es-CO"/>
              </w:rPr>
            </w:pPr>
          </w:p>
        </w:tc>
      </w:tr>
    </w:tbl>
    <w:p w:rsidR="00C1769A" w:rsidRDefault="00C1769A" w:rsidP="00C1769A">
      <w:r>
        <w:t>Vale anotar que para el período B-2020 se proyecta proveer las vacancias definitivas en la planta docente, mismas que actualmente están siendo suplidas por docentes ocasionales, por ello se da el cambio en el número de docentes de planta de 12 a 17 entre un período y otro, así como la reducción de ocasionales de 15 a 9.</w:t>
      </w:r>
    </w:p>
    <w:p w:rsidR="00C1769A" w:rsidRDefault="00C1769A" w:rsidP="00C1769A">
      <w:r>
        <w:t>Cualquier información adicional al respecto, con gusto será atendida.</w:t>
      </w:r>
    </w:p>
    <w:p w:rsidR="00C1769A" w:rsidRDefault="00C1769A" w:rsidP="00C1769A"/>
    <w:p w:rsidR="00C1769A" w:rsidRDefault="00C1769A" w:rsidP="00C1769A">
      <w:r>
        <w:t>Atento Saludo,</w:t>
      </w:r>
    </w:p>
    <w:p w:rsidR="00C1769A" w:rsidRDefault="00C1769A" w:rsidP="00C1769A"/>
    <w:p w:rsidR="00C1769A" w:rsidRDefault="00C1769A" w:rsidP="00C1769A">
      <w:pPr>
        <w:spacing w:after="0"/>
      </w:pPr>
    </w:p>
    <w:p w:rsidR="00C1769A" w:rsidRPr="00BD2C18" w:rsidRDefault="00C1769A" w:rsidP="00C1769A">
      <w:pPr>
        <w:spacing w:after="0"/>
        <w:rPr>
          <w:b/>
        </w:rPr>
      </w:pPr>
      <w:r w:rsidRPr="00BD2C18">
        <w:rPr>
          <w:b/>
        </w:rPr>
        <w:t>NICOLÁS OTÁLVARO TREJOS</w:t>
      </w:r>
    </w:p>
    <w:p w:rsidR="00C1769A" w:rsidRDefault="00C1769A" w:rsidP="00C1769A">
      <w:pPr>
        <w:spacing w:after="0"/>
      </w:pPr>
      <w:r>
        <w:t>Vicerrector Académico</w:t>
      </w:r>
    </w:p>
    <w:p w:rsidR="006A37F8" w:rsidRDefault="006A37F8" w:rsidP="00327A94">
      <w:pPr>
        <w:jc w:val="both"/>
        <w:rPr>
          <w:rFonts w:ascii="Calibri" w:hAnsi="Calibri" w:cs="Calibri"/>
          <w:b/>
          <w:bCs/>
          <w:i/>
          <w:sz w:val="20"/>
          <w:szCs w:val="20"/>
          <w:u w:val="single"/>
        </w:rPr>
      </w:pPr>
    </w:p>
    <w:p w:rsidR="006A37F8" w:rsidRDefault="006A37F8" w:rsidP="000C16F4">
      <w:pPr>
        <w:jc w:val="both"/>
        <w:rPr>
          <w:rFonts w:ascii="Calibri" w:hAnsi="Calibri" w:cs="Calibri"/>
          <w:b/>
          <w:bCs/>
          <w:i/>
          <w:sz w:val="20"/>
          <w:szCs w:val="20"/>
          <w:u w:val="single"/>
        </w:rPr>
      </w:pPr>
    </w:p>
    <w:p w:rsidR="006A37F8" w:rsidRDefault="006A37F8" w:rsidP="00327A94">
      <w:pPr>
        <w:jc w:val="both"/>
        <w:rPr>
          <w:rFonts w:ascii="Calibri" w:hAnsi="Calibri" w:cs="Calibri"/>
          <w:b/>
          <w:bCs/>
          <w:i/>
          <w:sz w:val="20"/>
          <w:szCs w:val="20"/>
          <w:u w:val="single"/>
        </w:rPr>
      </w:pPr>
    </w:p>
    <w:p w:rsidR="00C1769A" w:rsidRDefault="00C1769A">
      <w:pPr>
        <w:rPr>
          <w:rFonts w:ascii="Calibri" w:hAnsi="Calibri" w:cs="Calibri"/>
          <w:b/>
          <w:bCs/>
          <w:i/>
          <w:sz w:val="20"/>
          <w:szCs w:val="20"/>
          <w:u w:val="single"/>
        </w:rPr>
      </w:pPr>
      <w:r>
        <w:rPr>
          <w:rFonts w:ascii="Calibri" w:hAnsi="Calibri" w:cs="Calibri"/>
          <w:b/>
          <w:bCs/>
          <w:i/>
          <w:sz w:val="20"/>
          <w:szCs w:val="20"/>
          <w:u w:val="single"/>
        </w:rPr>
        <w:br w:type="page"/>
      </w:r>
    </w:p>
    <w:p w:rsidR="00117D62" w:rsidRDefault="00514288">
      <w:pPr>
        <w:rPr>
          <w:rFonts w:ascii="Calibri" w:hAnsi="Calibri" w:cs="Calibri"/>
          <w:b/>
          <w:bCs/>
          <w:i/>
          <w:sz w:val="20"/>
          <w:szCs w:val="20"/>
          <w:u w:val="single"/>
        </w:rPr>
      </w:pPr>
      <w:r w:rsidRPr="00647A7F">
        <w:rPr>
          <w:rFonts w:ascii="Calibri" w:hAnsi="Calibri" w:cs="Calibri"/>
          <w:b/>
          <w:bCs/>
          <w:i/>
          <w:sz w:val="20"/>
          <w:szCs w:val="20"/>
          <w:u w:val="single"/>
        </w:rPr>
        <w:lastRenderedPageBreak/>
        <w:t xml:space="preserve">Anexo </w:t>
      </w:r>
      <w:r>
        <w:rPr>
          <w:rFonts w:ascii="Calibri" w:hAnsi="Calibri" w:cs="Calibri"/>
          <w:b/>
          <w:bCs/>
          <w:i/>
          <w:sz w:val="20"/>
          <w:szCs w:val="20"/>
          <w:u w:val="single"/>
        </w:rPr>
        <w:t>5</w:t>
      </w:r>
    </w:p>
    <w:p w:rsidR="00117D62" w:rsidRDefault="00117D62" w:rsidP="00117D62">
      <w:pPr>
        <w:jc w:val="both"/>
        <w:rPr>
          <w:rFonts w:ascii="Calibri" w:hAnsi="Calibri" w:cs="Calibri"/>
        </w:rPr>
      </w:pPr>
      <w:r w:rsidRPr="00F923D6">
        <w:rPr>
          <w:rFonts w:ascii="Calibri" w:hAnsi="Calibri" w:cs="Calibri"/>
          <w:sz w:val="20"/>
        </w:rPr>
        <w:t>Los contratos de prestación de servicios están diseñados exclusivamente como instrumento especial de colaboración para el cumplimiento de actividades relacionadas con la administración o funcionamiento de la Institución, cuando dichas actividades no pueden realizarse con el personal de planta ya sea por personal insuficiente o por requerirse de experiencia relacionada</w:t>
      </w:r>
      <w:r w:rsidRPr="00F923D6">
        <w:rPr>
          <w:rFonts w:ascii="Calibri" w:hAnsi="Calibri" w:cs="Calibri"/>
        </w:rPr>
        <w:t>.</w:t>
      </w:r>
      <w:r>
        <w:rPr>
          <w:rFonts w:ascii="Calibri" w:hAnsi="Calibri" w:cs="Calibri"/>
        </w:rPr>
        <w:t xml:space="preserve"> </w:t>
      </w:r>
    </w:p>
    <w:p w:rsidR="00117D62" w:rsidRPr="00375108" w:rsidRDefault="00117D62" w:rsidP="00117D62">
      <w:pPr>
        <w:jc w:val="both"/>
        <w:rPr>
          <w:rFonts w:ascii="Calibri" w:hAnsi="Calibri" w:cs="Calibri"/>
          <w:sz w:val="20"/>
          <w:szCs w:val="20"/>
        </w:rPr>
      </w:pPr>
      <w:r w:rsidRPr="00375108">
        <w:rPr>
          <w:rFonts w:ascii="Calibri" w:hAnsi="Calibri" w:cs="Calibri"/>
          <w:sz w:val="20"/>
          <w:szCs w:val="20"/>
        </w:rPr>
        <w:t>La Secret</w:t>
      </w:r>
      <w:r>
        <w:rPr>
          <w:rFonts w:ascii="Calibri" w:hAnsi="Calibri" w:cs="Calibri"/>
          <w:sz w:val="20"/>
          <w:szCs w:val="20"/>
        </w:rPr>
        <w:t>aria General y las oficinas de Presupuesto, Contabilidad y Talento H</w:t>
      </w:r>
      <w:r w:rsidRPr="00375108">
        <w:rPr>
          <w:rFonts w:ascii="Calibri" w:hAnsi="Calibri" w:cs="Calibri"/>
          <w:sz w:val="20"/>
          <w:szCs w:val="20"/>
        </w:rPr>
        <w:t>umano, atienden durante el año aproximadamente 100 procesos de contratación, los cuales son remitidos por las diferentes dependencias de la institución, requiriendo para ello estudios previos, de mercado y del sector.</w:t>
      </w:r>
    </w:p>
    <w:p w:rsidR="00117D62" w:rsidRPr="00375108" w:rsidRDefault="00117D62" w:rsidP="00117D62">
      <w:pPr>
        <w:jc w:val="both"/>
        <w:rPr>
          <w:rFonts w:ascii="Calibri" w:hAnsi="Calibri" w:cs="Calibri"/>
          <w:sz w:val="20"/>
          <w:szCs w:val="20"/>
        </w:rPr>
      </w:pPr>
      <w:r w:rsidRPr="00375108">
        <w:rPr>
          <w:rFonts w:ascii="Calibri" w:hAnsi="Calibri" w:cs="Calibri"/>
          <w:sz w:val="20"/>
          <w:szCs w:val="20"/>
        </w:rPr>
        <w:t xml:space="preserve">Así mismo se requiere contar con el apoyo para la elaboración de conceptos y respuestas a las observaciones y recursos presentados por los oferentes frente a los diferentes procesos contractuales y administrativos. </w:t>
      </w:r>
    </w:p>
    <w:p w:rsidR="00117D62" w:rsidRPr="00375108" w:rsidRDefault="00117D62" w:rsidP="00117D62">
      <w:pPr>
        <w:jc w:val="both"/>
        <w:rPr>
          <w:rFonts w:ascii="Calibri" w:hAnsi="Calibri" w:cs="Calibri"/>
          <w:sz w:val="20"/>
          <w:szCs w:val="20"/>
        </w:rPr>
      </w:pPr>
      <w:r w:rsidRPr="00375108">
        <w:rPr>
          <w:rFonts w:ascii="Calibri" w:hAnsi="Calibri" w:cs="Calibri"/>
          <w:sz w:val="20"/>
          <w:szCs w:val="20"/>
        </w:rPr>
        <w:t xml:space="preserve">Se hace necesario contratar un profesional, para la prestación de servicios profesionales como asesor jurídico en contratación y administración, brindando apoyo en las actividades que adelanta la institución, así como asesoría y apoyo a la gestión jurídica contractual, procurando la atención oportuna y eficaz de todos los procesos requeridos, consistentes en la contratación de bienes y servicios, necesarios para garantizar la correcta prestación de los servicios que desde la parte misional </w:t>
      </w:r>
      <w:r w:rsidR="00486A6E">
        <w:rPr>
          <w:rFonts w:ascii="Calibri" w:hAnsi="Calibri" w:cs="Calibri"/>
          <w:sz w:val="20"/>
          <w:szCs w:val="20"/>
        </w:rPr>
        <w:t xml:space="preserve">que </w:t>
      </w:r>
      <w:r w:rsidRPr="00375108">
        <w:rPr>
          <w:rFonts w:ascii="Calibri" w:hAnsi="Calibri" w:cs="Calibri"/>
          <w:sz w:val="20"/>
          <w:szCs w:val="20"/>
        </w:rPr>
        <w:t xml:space="preserve">le es encomendada a la institución y se requieren teniendo en cuenta que hay un presupuesto aprobado y unas necesidades que satisfacer, las cuales sin lugar a dudas en su gran mayoría se suplen desarrollando algún tipo de proceso de contratación. </w:t>
      </w:r>
    </w:p>
    <w:p w:rsidR="00117D62" w:rsidRPr="00375108" w:rsidRDefault="00117D62" w:rsidP="00117D62">
      <w:pPr>
        <w:jc w:val="both"/>
        <w:rPr>
          <w:rFonts w:ascii="Calibri" w:hAnsi="Calibri" w:cs="Calibri"/>
          <w:i/>
          <w:sz w:val="20"/>
          <w:szCs w:val="20"/>
        </w:rPr>
      </w:pPr>
      <w:r w:rsidRPr="00375108">
        <w:rPr>
          <w:rFonts w:ascii="Calibri" w:hAnsi="Calibri" w:cs="Calibri"/>
          <w:sz w:val="20"/>
          <w:szCs w:val="20"/>
        </w:rPr>
        <w:t xml:space="preserve">Se suma a ello lo definido en el artículo 3 de la ley 80 de 1993 el cual estipula que: </w:t>
      </w:r>
      <w:r>
        <w:rPr>
          <w:rFonts w:ascii="Calibri" w:hAnsi="Calibri" w:cs="Calibri"/>
          <w:sz w:val="20"/>
          <w:szCs w:val="20"/>
        </w:rPr>
        <w:t>“</w:t>
      </w:r>
      <w:r w:rsidRPr="00375108">
        <w:rPr>
          <w:rFonts w:ascii="Calibri" w:hAnsi="Calibri" w:cs="Calibri"/>
          <w:i/>
          <w:sz w:val="20"/>
          <w:szCs w:val="20"/>
        </w:rPr>
        <w:t>Los servidores públicos tendrán en consideración que al celebrar contratos y con la ejecución de los mismos, las entidades buscan el cumplimiento de los fines estatales, la continua y eficiente prestación de los servicios públicos y la efectividad de los derechos e intereses de los administrados que colaboran con ellas en la consecución de dichos fines</w:t>
      </w:r>
      <w:r>
        <w:rPr>
          <w:rFonts w:ascii="Calibri" w:hAnsi="Calibri" w:cs="Calibri"/>
          <w:i/>
          <w:sz w:val="20"/>
          <w:szCs w:val="20"/>
        </w:rPr>
        <w:t>”</w:t>
      </w:r>
      <w:r w:rsidRPr="00375108">
        <w:rPr>
          <w:rFonts w:ascii="Calibri" w:hAnsi="Calibri" w:cs="Calibri"/>
          <w:i/>
          <w:sz w:val="20"/>
          <w:szCs w:val="20"/>
        </w:rPr>
        <w:t>.</w:t>
      </w:r>
    </w:p>
    <w:p w:rsidR="00117D62" w:rsidRPr="00375108" w:rsidRDefault="00117D62" w:rsidP="00117D62">
      <w:pPr>
        <w:jc w:val="both"/>
        <w:rPr>
          <w:rFonts w:ascii="Calibri" w:hAnsi="Calibri" w:cs="Calibri"/>
          <w:sz w:val="20"/>
          <w:szCs w:val="20"/>
        </w:rPr>
      </w:pPr>
      <w:r w:rsidRPr="00375108">
        <w:rPr>
          <w:rFonts w:ascii="Calibri" w:hAnsi="Calibri" w:cs="Calibri"/>
          <w:sz w:val="20"/>
          <w:szCs w:val="20"/>
        </w:rPr>
        <w:t>La IES CINOC actualmente adelanta procesos jurídicos, financieros y contables orientados al cambio de carácter de la institución, lo cual demanda dedicar gran parte de su labor al cumplimiento de este objetivo, por ello se requiere, el apoyo de un profesional que descargue a los líderes de estos procesos, y pueda orientar, proyectar y liderar los procesos contractuales que adelanta la institución en sus diferentes etapas y modalidades.</w:t>
      </w:r>
    </w:p>
    <w:p w:rsidR="00117D62" w:rsidRPr="00375108" w:rsidRDefault="00117D62" w:rsidP="00117D62">
      <w:pPr>
        <w:jc w:val="both"/>
        <w:rPr>
          <w:rFonts w:ascii="Calibri" w:hAnsi="Calibri" w:cs="Calibri"/>
          <w:sz w:val="20"/>
          <w:szCs w:val="20"/>
        </w:rPr>
      </w:pPr>
      <w:r w:rsidRPr="00375108">
        <w:rPr>
          <w:rFonts w:ascii="Calibri" w:hAnsi="Calibri" w:cs="Calibri"/>
          <w:sz w:val="20"/>
          <w:szCs w:val="20"/>
        </w:rPr>
        <w:t xml:space="preserve">Por lo anteriormente expuesto se requiere contratar a una persona natural que tenga el conocimiento y experiencia para que apoye directamente a la entidad, para la elaboración y revisión de los documentos que se deriven de los procesos contractuales y administrativos en las diferentes modalidades de selección de contratistas y durante las diferentes etapas del proceso contractual. </w:t>
      </w:r>
    </w:p>
    <w:p w:rsidR="00117D62" w:rsidRDefault="00117D62" w:rsidP="00117D62">
      <w:pPr>
        <w:pStyle w:val="Default"/>
        <w:jc w:val="both"/>
        <w:rPr>
          <w:rFonts w:ascii="Calibri" w:hAnsi="Calibri" w:cs="Calibri"/>
          <w:bCs/>
          <w:sz w:val="20"/>
          <w:szCs w:val="20"/>
        </w:rPr>
      </w:pPr>
      <w:r w:rsidRPr="00D66B9E">
        <w:rPr>
          <w:rFonts w:ascii="Calibri" w:hAnsi="Calibri" w:cs="Calibri"/>
          <w:bCs/>
          <w:sz w:val="20"/>
          <w:szCs w:val="20"/>
        </w:rPr>
        <w:t>Es de anotar que la presente contratación de prestación de servicios profesionales</w:t>
      </w:r>
      <w:r>
        <w:rPr>
          <w:rFonts w:ascii="Calibri" w:hAnsi="Calibri" w:cs="Calibri"/>
          <w:bCs/>
          <w:sz w:val="20"/>
          <w:szCs w:val="20"/>
        </w:rPr>
        <w:t xml:space="preserve"> y de apoyo a la gestión</w:t>
      </w:r>
      <w:r w:rsidRPr="00D66B9E">
        <w:rPr>
          <w:rFonts w:ascii="Calibri" w:hAnsi="Calibri" w:cs="Calibri"/>
          <w:bCs/>
          <w:sz w:val="20"/>
          <w:szCs w:val="20"/>
        </w:rPr>
        <w:t xml:space="preserve"> está prevista en el Plan Anual de Adquisiciones de la Institución para el año 20</w:t>
      </w:r>
      <w:r>
        <w:rPr>
          <w:rFonts w:ascii="Calibri" w:hAnsi="Calibri" w:cs="Calibri"/>
          <w:bCs/>
          <w:sz w:val="20"/>
          <w:szCs w:val="20"/>
        </w:rPr>
        <w:t>20</w:t>
      </w:r>
      <w:r w:rsidRPr="00D66B9E">
        <w:rPr>
          <w:rFonts w:ascii="Calibri" w:hAnsi="Calibri" w:cs="Calibri"/>
          <w:bCs/>
          <w:sz w:val="20"/>
          <w:szCs w:val="20"/>
        </w:rPr>
        <w:t>.</w:t>
      </w:r>
    </w:p>
    <w:p w:rsidR="00514288" w:rsidRDefault="00514288">
      <w:pPr>
        <w:rPr>
          <w:rFonts w:ascii="Calibri" w:hAnsi="Calibri" w:cs="Calibri"/>
          <w:b/>
          <w:bCs/>
          <w:i/>
          <w:sz w:val="20"/>
          <w:szCs w:val="20"/>
          <w:u w:val="single"/>
        </w:rPr>
      </w:pPr>
      <w:r>
        <w:rPr>
          <w:rFonts w:ascii="Calibri" w:hAnsi="Calibri" w:cs="Calibri"/>
          <w:b/>
          <w:bCs/>
          <w:i/>
          <w:sz w:val="20"/>
          <w:szCs w:val="20"/>
          <w:u w:val="single"/>
        </w:rPr>
        <w:br w:type="page"/>
      </w:r>
    </w:p>
    <w:p w:rsidR="00514288" w:rsidRDefault="00514288">
      <w:pPr>
        <w:rPr>
          <w:rFonts w:ascii="Calibri" w:hAnsi="Calibri" w:cs="Calibri"/>
          <w:b/>
          <w:bCs/>
          <w:i/>
          <w:sz w:val="20"/>
          <w:szCs w:val="20"/>
          <w:u w:val="single"/>
        </w:rPr>
      </w:pPr>
      <w:r w:rsidRPr="00647A7F">
        <w:rPr>
          <w:rFonts w:ascii="Calibri" w:hAnsi="Calibri" w:cs="Calibri"/>
          <w:b/>
          <w:bCs/>
          <w:i/>
          <w:sz w:val="20"/>
          <w:szCs w:val="20"/>
          <w:u w:val="single"/>
        </w:rPr>
        <w:lastRenderedPageBreak/>
        <w:t xml:space="preserve">Anexo </w:t>
      </w:r>
      <w:r>
        <w:rPr>
          <w:rFonts w:ascii="Calibri" w:hAnsi="Calibri" w:cs="Calibri"/>
          <w:b/>
          <w:bCs/>
          <w:i/>
          <w:sz w:val="20"/>
          <w:szCs w:val="20"/>
          <w:u w:val="single"/>
        </w:rPr>
        <w:t>6</w:t>
      </w:r>
    </w:p>
    <w:p w:rsidR="009172F0" w:rsidRPr="00AD4EC0" w:rsidRDefault="009172F0" w:rsidP="009172F0">
      <w:pPr>
        <w:jc w:val="both"/>
        <w:rPr>
          <w:rFonts w:ascii="Calibri" w:hAnsi="Calibri" w:cs="Calibri"/>
          <w:sz w:val="20"/>
          <w:szCs w:val="20"/>
        </w:rPr>
      </w:pPr>
      <w:r w:rsidRPr="00AD4EC0">
        <w:rPr>
          <w:rFonts w:ascii="Calibri" w:hAnsi="Calibri" w:cs="Calibri"/>
          <w:sz w:val="20"/>
          <w:szCs w:val="20"/>
        </w:rPr>
        <w:t>El Sistema de Gestión de Seguridad y Salud en el Trabajo (SG-SST), es un conjunto de actividades debidamente programadas, ejecutadas y monitoreadas, que conllevan a la protección de los empleados y contratistas en todos los procesos y actividades propias que se desarrollen en la entidad para prevenir patologías de origen laboral o la generación de accidentes de trabajo que puedan acarrear daños permanentes en la salud de las personas o la muerte. La implementación del SG-SST y la administración y gestión de los riesgos sirven para impactar positivamente la mejora de las condiciones de seguridad y salud en el trabajo y en la calidad de vida de los colaboradores.</w:t>
      </w:r>
    </w:p>
    <w:p w:rsidR="009172F0" w:rsidRPr="00AD4EC0" w:rsidRDefault="009172F0" w:rsidP="009172F0">
      <w:pPr>
        <w:jc w:val="both"/>
        <w:rPr>
          <w:rFonts w:ascii="Calibri" w:hAnsi="Calibri" w:cs="Calibri"/>
          <w:sz w:val="20"/>
          <w:szCs w:val="20"/>
        </w:rPr>
      </w:pPr>
      <w:r w:rsidRPr="00AD4EC0">
        <w:rPr>
          <w:rFonts w:ascii="Calibri" w:hAnsi="Calibri" w:cs="Calibri"/>
          <w:sz w:val="20"/>
          <w:szCs w:val="20"/>
        </w:rPr>
        <w:t>De acuerdo a la normatividad vigente, especialmente al Decreto 1072 de 2015, modificado por el Decreto 052 de 2017, es obligatorio que toda empresa o entidad tenga implementado un Sistema de Gestión de Seguridad y Salud en el Trabajo (SG-SST) que permita mantener en buenas condiciones la salud a sus trabajadores, evitando que se generen accidentes de trabajo o enfermedades de origen laboral.</w:t>
      </w:r>
    </w:p>
    <w:p w:rsidR="009172F0" w:rsidRPr="00AD4EC0" w:rsidRDefault="009172F0" w:rsidP="009172F0">
      <w:pPr>
        <w:jc w:val="both"/>
        <w:rPr>
          <w:rFonts w:ascii="Calibri" w:hAnsi="Calibri" w:cs="Calibri"/>
          <w:sz w:val="20"/>
          <w:szCs w:val="20"/>
        </w:rPr>
      </w:pPr>
      <w:r w:rsidRPr="00AD4EC0">
        <w:rPr>
          <w:rFonts w:ascii="Calibri" w:hAnsi="Calibri" w:cs="Calibri"/>
          <w:sz w:val="20"/>
          <w:szCs w:val="20"/>
        </w:rPr>
        <w:t>En el año 2017 se aprobó tanto la documentación del SGT SST como un plan de trabajo para el año 2018, el cual incluye la contratación de una asesoría externa, presentándose la necesidad de contratar externamente a una persona para ser designada como responsable de la dirección del SG-SST, teniendo en cuenta que no es posible en el corto plazo contar con una persona dentro de la planta, con el perfil exigido por la normatividad para este tipo de empresas, en este sentido el Decreto 1072 de 2015 reglamentario único del sector trabajo, establece entre las obligaciones del empleador en el artículo 2.2.4.6.8, numeral 10 “Dirección de la Seguridad y Salud en el Trabajo-SST en las Empresas: Debe garantizar la disponibilidad de personal responsable de la seguridad y la salud en el trabajo, cuyo perfil deberá ser acorde con lo establecido con la normatividad vigente y los estándares mínimos que para tal efecto determine el Ministerio del Trabajo…” (en este caso debe contar con licencia de salud ocupacional vigente).</w:t>
      </w:r>
    </w:p>
    <w:p w:rsidR="009172F0" w:rsidRPr="00AD4EC0" w:rsidRDefault="009172F0" w:rsidP="009172F0">
      <w:pPr>
        <w:jc w:val="both"/>
        <w:rPr>
          <w:rFonts w:ascii="Calibri" w:hAnsi="Calibri" w:cs="Calibri"/>
          <w:sz w:val="20"/>
          <w:szCs w:val="20"/>
        </w:rPr>
      </w:pPr>
      <w:r w:rsidRPr="00AD4EC0">
        <w:rPr>
          <w:rFonts w:ascii="Calibri" w:hAnsi="Calibri" w:cs="Calibri"/>
          <w:sz w:val="20"/>
          <w:szCs w:val="20"/>
        </w:rPr>
        <w:t>En el año 201</w:t>
      </w:r>
      <w:r>
        <w:rPr>
          <w:rFonts w:ascii="Calibri" w:hAnsi="Calibri" w:cs="Calibri"/>
          <w:sz w:val="20"/>
          <w:szCs w:val="20"/>
        </w:rPr>
        <w:t>9</w:t>
      </w:r>
      <w:r w:rsidRPr="00AD4EC0">
        <w:rPr>
          <w:rFonts w:ascii="Calibri" w:hAnsi="Calibri" w:cs="Calibri"/>
          <w:sz w:val="20"/>
          <w:szCs w:val="20"/>
        </w:rPr>
        <w:t xml:space="preserve"> se logró una implementación del 90% en el SG SST de la entidad, gracias al aporte tanto del técnico como del asesor en SG SST, por lo tanto, para continuar con la adecuada implementación del sistema, se requiere de la contratación tanto del técnico como la asesoría especializada en SG SST para el cumplimiento del plan de trabajo SST del 20</w:t>
      </w:r>
      <w:r>
        <w:rPr>
          <w:rFonts w:ascii="Calibri" w:hAnsi="Calibri" w:cs="Calibri"/>
          <w:sz w:val="20"/>
          <w:szCs w:val="20"/>
        </w:rPr>
        <w:t>20</w:t>
      </w:r>
      <w:r w:rsidRPr="00AD4EC0">
        <w:rPr>
          <w:rFonts w:ascii="Calibri" w:hAnsi="Calibri" w:cs="Calibri"/>
          <w:sz w:val="20"/>
          <w:szCs w:val="20"/>
        </w:rPr>
        <w:t>.</w:t>
      </w:r>
    </w:p>
    <w:p w:rsidR="009172F0" w:rsidRPr="00471FC6" w:rsidRDefault="009172F0" w:rsidP="009172F0">
      <w:pPr>
        <w:jc w:val="both"/>
        <w:rPr>
          <w:rFonts w:ascii="Calibri" w:eastAsia="Calibri" w:hAnsi="Calibri" w:cs="Calibri"/>
          <w:sz w:val="20"/>
          <w:szCs w:val="20"/>
        </w:rPr>
      </w:pPr>
    </w:p>
    <w:p w:rsidR="00514288" w:rsidRDefault="00514288" w:rsidP="00DF4C10">
      <w:pPr>
        <w:rPr>
          <w:rFonts w:ascii="Calibri" w:hAnsi="Calibri" w:cs="Calibri"/>
          <w:b/>
          <w:bCs/>
          <w:i/>
          <w:sz w:val="20"/>
          <w:szCs w:val="20"/>
          <w:u w:val="single"/>
        </w:rPr>
      </w:pPr>
      <w:r>
        <w:rPr>
          <w:rFonts w:ascii="Calibri" w:hAnsi="Calibri" w:cs="Calibri"/>
          <w:b/>
          <w:bCs/>
          <w:i/>
          <w:sz w:val="20"/>
          <w:szCs w:val="20"/>
          <w:u w:val="single"/>
        </w:rPr>
        <w:br w:type="page"/>
      </w:r>
    </w:p>
    <w:p w:rsidR="00514288" w:rsidRDefault="00514288">
      <w:pPr>
        <w:rPr>
          <w:rFonts w:ascii="Calibri" w:hAnsi="Calibri" w:cs="Calibri"/>
          <w:b/>
          <w:bCs/>
          <w:i/>
          <w:sz w:val="20"/>
          <w:szCs w:val="20"/>
          <w:u w:val="single"/>
        </w:rPr>
      </w:pPr>
      <w:r w:rsidRPr="00647A7F">
        <w:rPr>
          <w:rFonts w:ascii="Calibri" w:hAnsi="Calibri" w:cs="Calibri"/>
          <w:b/>
          <w:bCs/>
          <w:i/>
          <w:sz w:val="20"/>
          <w:szCs w:val="20"/>
          <w:u w:val="single"/>
        </w:rPr>
        <w:lastRenderedPageBreak/>
        <w:t xml:space="preserve">Anexo </w:t>
      </w:r>
      <w:r>
        <w:rPr>
          <w:rFonts w:ascii="Calibri" w:hAnsi="Calibri" w:cs="Calibri"/>
          <w:b/>
          <w:bCs/>
          <w:i/>
          <w:sz w:val="20"/>
          <w:szCs w:val="20"/>
          <w:u w:val="single"/>
        </w:rPr>
        <w:t>7</w:t>
      </w:r>
    </w:p>
    <w:p w:rsidR="00A374F0" w:rsidRPr="00921CD6" w:rsidRDefault="00A374F0" w:rsidP="00A374F0">
      <w:pPr>
        <w:jc w:val="both"/>
        <w:rPr>
          <w:rFonts w:ascii="Century Gothic" w:hAnsi="Century Gothic" w:cs="Calibri"/>
          <w:bCs/>
          <w:sz w:val="20"/>
          <w:szCs w:val="20"/>
        </w:rPr>
      </w:pPr>
      <w:r w:rsidRPr="00921CD6">
        <w:rPr>
          <w:rFonts w:ascii="Century Gothic" w:hAnsi="Century Gothic" w:cs="Calibri"/>
          <w:bCs/>
          <w:sz w:val="20"/>
          <w:szCs w:val="20"/>
        </w:rPr>
        <w:t xml:space="preserve">En el año 2017, 2018 y 2019 se tuvo la necesidad de contratar un persona de apoyo para el área administrativa y financiera en lo concerniente a la elaboración y gestión de distintos documentos previos de contratación, todo por la cantidad de actividades que debe desarrollar el profesional universitario encargado de esta dependencia, el cual no alcanzaba, dentro de su jornada de trabajo a elaborar y gestionar en forma oportuna la totalidad de solicitudes de contratación que hacían las distintas dependencias de la Institución. </w:t>
      </w:r>
    </w:p>
    <w:p w:rsidR="00A374F0" w:rsidRPr="00921CD6" w:rsidRDefault="00A374F0" w:rsidP="00A374F0">
      <w:pPr>
        <w:jc w:val="both"/>
        <w:rPr>
          <w:rFonts w:ascii="Century Gothic" w:hAnsi="Century Gothic" w:cs="Calibri"/>
          <w:bCs/>
          <w:sz w:val="20"/>
          <w:szCs w:val="20"/>
        </w:rPr>
      </w:pPr>
    </w:p>
    <w:p w:rsidR="00A374F0" w:rsidRPr="00921CD6" w:rsidRDefault="00A374F0" w:rsidP="00A374F0">
      <w:pPr>
        <w:jc w:val="both"/>
        <w:rPr>
          <w:rFonts w:ascii="Century Gothic" w:hAnsi="Century Gothic" w:cs="Calibri"/>
          <w:bCs/>
          <w:sz w:val="20"/>
          <w:szCs w:val="20"/>
        </w:rPr>
      </w:pPr>
      <w:r w:rsidRPr="00921CD6">
        <w:rPr>
          <w:rFonts w:ascii="Century Gothic" w:hAnsi="Century Gothic" w:cs="Calibri"/>
          <w:bCs/>
          <w:sz w:val="20"/>
          <w:szCs w:val="20"/>
        </w:rPr>
        <w:t>En el presente año (2020) se sigue con la necesidad de contratar una persona de apoyo y gestión a los procesos contractuales con el ánimo de dar respuesta oportuna a las distintas solicitudes de contratación que hacen las dependencias de la IES CINOC y así dar fluidez oportuna (un término máximo de respuesta a solicitudes de 15 días calendario)   a esta actividad estratégica para la IES CINOC, como son las compras de bienes y servicios indispensables para garantizar el normal funcionamiento de los procesos estratégicos, misionales y de apoyo de la Institución.</w:t>
      </w:r>
    </w:p>
    <w:p w:rsidR="00A374F0" w:rsidRPr="00921CD6" w:rsidRDefault="00A374F0" w:rsidP="00A374F0">
      <w:pPr>
        <w:jc w:val="both"/>
        <w:rPr>
          <w:rFonts w:ascii="Century Gothic" w:hAnsi="Century Gothic" w:cs="Calibri"/>
          <w:bCs/>
          <w:sz w:val="20"/>
          <w:szCs w:val="20"/>
        </w:rPr>
      </w:pPr>
    </w:p>
    <w:p w:rsidR="00A374F0" w:rsidRPr="00921CD6" w:rsidRDefault="00A374F0" w:rsidP="00A374F0">
      <w:pPr>
        <w:jc w:val="both"/>
        <w:rPr>
          <w:rFonts w:ascii="Century Gothic" w:hAnsi="Century Gothic" w:cs="Calibri"/>
          <w:bCs/>
          <w:sz w:val="20"/>
          <w:szCs w:val="20"/>
        </w:rPr>
      </w:pPr>
      <w:r w:rsidRPr="00921CD6">
        <w:rPr>
          <w:rFonts w:ascii="Century Gothic" w:hAnsi="Century Gothic" w:cs="Calibri"/>
          <w:bCs/>
          <w:sz w:val="20"/>
          <w:szCs w:val="20"/>
        </w:rPr>
        <w:t>Los documentos y actividades elaborados y gestionados por el área administrativa y financiera, relacionados con la etapa precontractual de todos los procesos de contratación son los siguientes:</w:t>
      </w:r>
    </w:p>
    <w:p w:rsidR="00A374F0" w:rsidRPr="00921CD6" w:rsidRDefault="00A374F0" w:rsidP="00A374F0">
      <w:pPr>
        <w:jc w:val="both"/>
        <w:rPr>
          <w:rFonts w:ascii="Century Gothic" w:hAnsi="Century Gothic" w:cs="Calibri"/>
          <w:bCs/>
          <w:sz w:val="20"/>
          <w:szCs w:val="20"/>
        </w:rPr>
      </w:pPr>
    </w:p>
    <w:p w:rsidR="00A374F0" w:rsidRPr="00921CD6" w:rsidRDefault="00A374F0" w:rsidP="00A374F0">
      <w:pPr>
        <w:pStyle w:val="Prrafodelista"/>
        <w:numPr>
          <w:ilvl w:val="0"/>
          <w:numId w:val="7"/>
        </w:numPr>
        <w:spacing w:after="200" w:line="276" w:lineRule="auto"/>
        <w:jc w:val="both"/>
        <w:rPr>
          <w:rFonts w:ascii="Century Gothic" w:hAnsi="Century Gothic" w:cs="Calibri"/>
          <w:bCs/>
          <w:sz w:val="20"/>
          <w:szCs w:val="20"/>
        </w:rPr>
      </w:pPr>
      <w:r w:rsidRPr="00921CD6">
        <w:rPr>
          <w:rFonts w:ascii="Century Gothic" w:hAnsi="Century Gothic" w:cs="Calibri"/>
          <w:bCs/>
          <w:sz w:val="20"/>
          <w:szCs w:val="20"/>
        </w:rPr>
        <w:t xml:space="preserve">Recepción de fichas técnicas de solicitud de contratos de bienes y servicios </w:t>
      </w:r>
    </w:p>
    <w:p w:rsidR="00A374F0" w:rsidRPr="00921CD6" w:rsidRDefault="00A374F0" w:rsidP="00A374F0">
      <w:pPr>
        <w:pStyle w:val="Prrafodelista"/>
        <w:numPr>
          <w:ilvl w:val="0"/>
          <w:numId w:val="7"/>
        </w:numPr>
        <w:spacing w:after="200" w:line="276" w:lineRule="auto"/>
        <w:jc w:val="both"/>
        <w:rPr>
          <w:rFonts w:ascii="Century Gothic" w:hAnsi="Century Gothic" w:cs="Calibri"/>
          <w:bCs/>
          <w:sz w:val="20"/>
          <w:szCs w:val="20"/>
        </w:rPr>
      </w:pPr>
      <w:r w:rsidRPr="00921CD6">
        <w:rPr>
          <w:rFonts w:ascii="Century Gothic" w:hAnsi="Century Gothic" w:cs="Calibri"/>
          <w:bCs/>
          <w:sz w:val="20"/>
          <w:szCs w:val="20"/>
        </w:rPr>
        <w:t xml:space="preserve">Gestión de por lo menos dos (2) cotizaciones para emprender el documento denominado “Estudios de mercado” </w:t>
      </w:r>
    </w:p>
    <w:p w:rsidR="00A374F0" w:rsidRPr="00921CD6" w:rsidRDefault="00A374F0" w:rsidP="00A374F0">
      <w:pPr>
        <w:pStyle w:val="Prrafodelista"/>
        <w:numPr>
          <w:ilvl w:val="0"/>
          <w:numId w:val="7"/>
        </w:numPr>
        <w:spacing w:after="200" w:line="276" w:lineRule="auto"/>
        <w:jc w:val="both"/>
        <w:rPr>
          <w:rFonts w:ascii="Century Gothic" w:hAnsi="Century Gothic" w:cs="Calibri"/>
          <w:bCs/>
          <w:sz w:val="20"/>
          <w:szCs w:val="20"/>
        </w:rPr>
      </w:pPr>
      <w:r w:rsidRPr="00921CD6">
        <w:rPr>
          <w:rFonts w:ascii="Century Gothic" w:hAnsi="Century Gothic" w:cs="Calibri"/>
          <w:bCs/>
          <w:sz w:val="20"/>
          <w:szCs w:val="20"/>
        </w:rPr>
        <w:t xml:space="preserve">Elaboración del documento denominado “Estudio de mercado”, </w:t>
      </w:r>
    </w:p>
    <w:p w:rsidR="00A374F0" w:rsidRPr="00921CD6" w:rsidRDefault="00A374F0" w:rsidP="00A374F0">
      <w:pPr>
        <w:pStyle w:val="Prrafodelista"/>
        <w:numPr>
          <w:ilvl w:val="0"/>
          <w:numId w:val="7"/>
        </w:numPr>
        <w:spacing w:after="200" w:line="276" w:lineRule="auto"/>
        <w:jc w:val="both"/>
        <w:rPr>
          <w:rFonts w:ascii="Century Gothic" w:hAnsi="Century Gothic" w:cs="Calibri"/>
          <w:bCs/>
          <w:sz w:val="20"/>
          <w:szCs w:val="20"/>
        </w:rPr>
      </w:pPr>
      <w:r w:rsidRPr="00921CD6">
        <w:rPr>
          <w:rFonts w:ascii="Century Gothic" w:hAnsi="Century Gothic" w:cs="Calibri"/>
          <w:bCs/>
          <w:sz w:val="20"/>
          <w:szCs w:val="20"/>
        </w:rPr>
        <w:t xml:space="preserve">Elaboración del documento denominado “Estudios previos” y </w:t>
      </w:r>
    </w:p>
    <w:p w:rsidR="00A374F0" w:rsidRPr="00921CD6" w:rsidRDefault="00A374F0" w:rsidP="00A374F0">
      <w:pPr>
        <w:pStyle w:val="Prrafodelista"/>
        <w:numPr>
          <w:ilvl w:val="0"/>
          <w:numId w:val="7"/>
        </w:numPr>
        <w:spacing w:after="200" w:line="276" w:lineRule="auto"/>
        <w:jc w:val="both"/>
        <w:rPr>
          <w:rFonts w:ascii="Century Gothic" w:hAnsi="Century Gothic" w:cs="Calibri"/>
          <w:bCs/>
          <w:sz w:val="20"/>
          <w:szCs w:val="20"/>
        </w:rPr>
      </w:pPr>
      <w:r w:rsidRPr="00921CD6">
        <w:rPr>
          <w:rFonts w:ascii="Century Gothic" w:hAnsi="Century Gothic" w:cs="Calibri"/>
          <w:bCs/>
          <w:sz w:val="20"/>
          <w:szCs w:val="20"/>
        </w:rPr>
        <w:t xml:space="preserve">Elaboración del documento denominado “Estudios del sector”, </w:t>
      </w:r>
    </w:p>
    <w:p w:rsidR="00A374F0" w:rsidRPr="00921CD6" w:rsidRDefault="00A374F0" w:rsidP="00A374F0">
      <w:pPr>
        <w:ind w:left="47"/>
        <w:jc w:val="both"/>
        <w:rPr>
          <w:rFonts w:ascii="Century Gothic" w:hAnsi="Century Gothic" w:cs="Calibri"/>
          <w:bCs/>
          <w:sz w:val="20"/>
          <w:szCs w:val="20"/>
        </w:rPr>
      </w:pPr>
    </w:p>
    <w:p w:rsidR="00A374F0" w:rsidRPr="00921CD6" w:rsidRDefault="00A374F0" w:rsidP="00A374F0">
      <w:pPr>
        <w:ind w:left="47"/>
        <w:jc w:val="both"/>
        <w:rPr>
          <w:rFonts w:ascii="Century Gothic" w:hAnsi="Century Gothic" w:cs="Calibri"/>
          <w:bCs/>
          <w:sz w:val="20"/>
          <w:szCs w:val="20"/>
        </w:rPr>
      </w:pPr>
      <w:r w:rsidRPr="00921CD6">
        <w:rPr>
          <w:rFonts w:ascii="Century Gothic" w:hAnsi="Century Gothic" w:cs="Calibri"/>
          <w:bCs/>
          <w:sz w:val="20"/>
          <w:szCs w:val="20"/>
        </w:rPr>
        <w:t>Todos estas actividades y trámites son rigurosas y requieren tiempo, operación y gestión del funcionario responsable (Oficina Administrativa y Financiera) lo que hace que dicho funcionario, tenga que trabajar tiempo extra, descuide otras funciones relacionadas con su cargo como análisis de cifras financieras para lo toma oportuna de decisiones, presentación de informes a entes de control sobre el tiempo.</w:t>
      </w:r>
    </w:p>
    <w:p w:rsidR="00A374F0" w:rsidRPr="00921CD6" w:rsidRDefault="00A374F0" w:rsidP="00A374F0">
      <w:pPr>
        <w:ind w:left="47"/>
        <w:jc w:val="both"/>
        <w:rPr>
          <w:rFonts w:ascii="Century Gothic" w:hAnsi="Century Gothic" w:cs="Calibri"/>
          <w:bCs/>
          <w:sz w:val="20"/>
          <w:szCs w:val="20"/>
        </w:rPr>
      </w:pPr>
    </w:p>
    <w:p w:rsidR="00514288" w:rsidRDefault="00A374F0" w:rsidP="00A374F0">
      <w:pPr>
        <w:rPr>
          <w:rFonts w:ascii="Calibri" w:hAnsi="Calibri" w:cs="Calibri"/>
          <w:b/>
          <w:bCs/>
          <w:i/>
          <w:sz w:val="20"/>
          <w:szCs w:val="20"/>
          <w:u w:val="single"/>
        </w:rPr>
      </w:pPr>
      <w:r w:rsidRPr="00921CD6">
        <w:rPr>
          <w:rFonts w:ascii="Century Gothic" w:hAnsi="Century Gothic" w:cs="Calibri"/>
          <w:bCs/>
          <w:sz w:val="20"/>
          <w:szCs w:val="20"/>
        </w:rPr>
        <w:t xml:space="preserve">Por las razones anteriormente expuestas se hace necesario contratar un Tecnólogo Profesional en el área contable y/o administrativa quien se encargará de la elaboración, gestión, y entrega de documentos precontractuales y contractuales a la oficina de División Administrativa y Financiera y así descongestionar la misma con relación a este tema, dando respuesta oportuna a las distintas solicitudes de contratación realizadas por las diferentes dependencias de la Institución. Así mismo realizar el cargue de documentos precontractuales y contractuales al SECOP I Y II y otras plataformas tecnológicas de organismos de control. </w:t>
      </w:r>
      <w:r w:rsidR="00514288">
        <w:rPr>
          <w:rFonts w:ascii="Calibri" w:hAnsi="Calibri" w:cs="Calibri"/>
          <w:b/>
          <w:bCs/>
          <w:i/>
          <w:sz w:val="20"/>
          <w:szCs w:val="20"/>
          <w:u w:val="single"/>
        </w:rPr>
        <w:br w:type="page"/>
      </w:r>
    </w:p>
    <w:p w:rsidR="00A374F0" w:rsidRDefault="00514288">
      <w:pPr>
        <w:rPr>
          <w:rFonts w:ascii="Calibri" w:hAnsi="Calibri" w:cs="Calibri"/>
          <w:b/>
          <w:bCs/>
          <w:i/>
          <w:sz w:val="20"/>
          <w:szCs w:val="20"/>
          <w:u w:val="single"/>
        </w:rPr>
      </w:pPr>
      <w:r w:rsidRPr="00647A7F">
        <w:rPr>
          <w:rFonts w:ascii="Calibri" w:hAnsi="Calibri" w:cs="Calibri"/>
          <w:b/>
          <w:bCs/>
          <w:i/>
          <w:sz w:val="20"/>
          <w:szCs w:val="20"/>
          <w:u w:val="single"/>
        </w:rPr>
        <w:lastRenderedPageBreak/>
        <w:t xml:space="preserve">Anexo </w:t>
      </w:r>
      <w:r>
        <w:rPr>
          <w:rFonts w:ascii="Calibri" w:hAnsi="Calibri" w:cs="Calibri"/>
          <w:b/>
          <w:bCs/>
          <w:i/>
          <w:sz w:val="20"/>
          <w:szCs w:val="20"/>
          <w:u w:val="single"/>
        </w:rPr>
        <w:t>8</w:t>
      </w:r>
    </w:p>
    <w:p w:rsidR="00514288" w:rsidRDefault="00A374F0" w:rsidP="004A68D1">
      <w:pPr>
        <w:jc w:val="both"/>
        <w:rPr>
          <w:rFonts w:ascii="Calibri" w:hAnsi="Calibri" w:cs="Calibri"/>
          <w:b/>
          <w:bCs/>
          <w:i/>
          <w:sz w:val="20"/>
          <w:szCs w:val="20"/>
          <w:u w:val="single"/>
        </w:rPr>
      </w:pPr>
      <w:r w:rsidRPr="00646488">
        <w:rPr>
          <w:rFonts w:ascii="Calibri" w:hAnsi="Calibri" w:cs="Calibri"/>
          <w:bCs/>
          <w:sz w:val="20"/>
          <w:szCs w:val="20"/>
        </w:rPr>
        <w:t>En el Plan de Desarrollo de la Institución 2020-2023 se encuentra la Variable estratégica Oferta y calidad de programas y servicios el proyecto VOCP 01</w:t>
      </w:r>
      <w:r>
        <w:rPr>
          <w:rFonts w:ascii="Calibri" w:hAnsi="Calibri" w:cs="Calibri"/>
          <w:bCs/>
          <w:sz w:val="20"/>
          <w:szCs w:val="20"/>
        </w:rPr>
        <w:t xml:space="preserve"> </w:t>
      </w:r>
      <w:r w:rsidRPr="00646488">
        <w:rPr>
          <w:rFonts w:ascii="Calibri" w:hAnsi="Calibri" w:cs="Calibri"/>
          <w:bCs/>
          <w:sz w:val="20"/>
          <w:szCs w:val="20"/>
        </w:rPr>
        <w:t>Acreditación Programas Académicos.  Es así como durante el año 2019 se logró la aprobación por parte del CNA del inicio formal del proceso de autoevaluación del Programa Técnico en Contabilidad Sistematizada y Tecnología en Gestión Contable y tributaria en ciclos propedéuticos y de igual manera el Consejo Académico mediante Acta Nª 014 aprobó el cronograma de autoevaluación de ambos programas, los cuales fueron registrados y aceptados en la Plataforma SACES CNA.  De acuerdo a dicho cronograma durante el año 2020 se debe avanzar en todo el proceso de recolección y análisis de la información de cada uno de los factores, características y aspectos a considerar que demanda el modelo.  Para lograr lo anterior se requiere del apoyo de un tecnólogo profesional que asista y apoya la realización de cada una de las actividades allí contempladas</w:t>
      </w:r>
      <w:r>
        <w:rPr>
          <w:rFonts w:ascii="Calibri" w:hAnsi="Calibri" w:cs="Calibri"/>
          <w:bCs/>
          <w:sz w:val="20"/>
          <w:szCs w:val="20"/>
        </w:rPr>
        <w:t>.</w:t>
      </w:r>
      <w:r w:rsidR="00514288">
        <w:rPr>
          <w:rFonts w:ascii="Calibri" w:hAnsi="Calibri" w:cs="Calibri"/>
          <w:b/>
          <w:bCs/>
          <w:i/>
          <w:sz w:val="20"/>
          <w:szCs w:val="20"/>
          <w:u w:val="single"/>
        </w:rPr>
        <w:br w:type="page"/>
      </w:r>
    </w:p>
    <w:p w:rsidR="00647A7F" w:rsidRPr="00647A7F" w:rsidRDefault="00647A7F" w:rsidP="00327A94">
      <w:pPr>
        <w:jc w:val="both"/>
        <w:rPr>
          <w:rFonts w:ascii="Calibri" w:hAnsi="Calibri" w:cs="Calibri"/>
          <w:b/>
          <w:bCs/>
          <w:i/>
          <w:sz w:val="20"/>
          <w:szCs w:val="20"/>
          <w:u w:val="single"/>
        </w:rPr>
      </w:pPr>
      <w:r w:rsidRPr="00647A7F">
        <w:rPr>
          <w:rFonts w:ascii="Calibri" w:hAnsi="Calibri" w:cs="Calibri"/>
          <w:b/>
          <w:bCs/>
          <w:i/>
          <w:sz w:val="20"/>
          <w:szCs w:val="20"/>
          <w:u w:val="single"/>
        </w:rPr>
        <w:lastRenderedPageBreak/>
        <w:t xml:space="preserve">Anexo </w:t>
      </w:r>
      <w:r w:rsidR="00EA34FE">
        <w:rPr>
          <w:rFonts w:ascii="Calibri" w:hAnsi="Calibri" w:cs="Calibri"/>
          <w:b/>
          <w:bCs/>
          <w:i/>
          <w:sz w:val="20"/>
          <w:szCs w:val="20"/>
          <w:u w:val="single"/>
        </w:rPr>
        <w:t>9</w:t>
      </w:r>
    </w:p>
    <w:p w:rsidR="006C3D91" w:rsidRDefault="004A68D1" w:rsidP="008529B8">
      <w:pPr>
        <w:pStyle w:val="Prrafodelista"/>
        <w:spacing w:line="240" w:lineRule="auto"/>
        <w:ind w:left="47"/>
        <w:jc w:val="both"/>
        <w:rPr>
          <w:rFonts w:ascii="Calibri" w:hAnsi="Calibri" w:cs="Calibri"/>
          <w:bCs/>
          <w:sz w:val="20"/>
          <w:szCs w:val="20"/>
        </w:rPr>
      </w:pPr>
      <w:r w:rsidRPr="0098589A">
        <w:rPr>
          <w:rFonts w:ascii="Century Gothic" w:hAnsi="Century Gothic" w:cs="Arial"/>
          <w:sz w:val="20"/>
          <w:szCs w:val="20"/>
        </w:rPr>
        <w:t xml:space="preserve">En aras de descongestionar el área administrativa y financiera, </w:t>
      </w:r>
      <w:r>
        <w:rPr>
          <w:rFonts w:ascii="Century Gothic" w:hAnsi="Century Gothic" w:cs="Arial"/>
          <w:sz w:val="20"/>
          <w:szCs w:val="20"/>
        </w:rPr>
        <w:t xml:space="preserve">el </w:t>
      </w:r>
      <w:r w:rsidRPr="0098589A">
        <w:rPr>
          <w:rFonts w:ascii="Century Gothic" w:hAnsi="Century Gothic" w:cs="Arial"/>
          <w:sz w:val="20"/>
          <w:szCs w:val="20"/>
        </w:rPr>
        <w:t xml:space="preserve">área de Contabilidad y </w:t>
      </w:r>
      <w:r>
        <w:rPr>
          <w:rFonts w:ascii="Century Gothic" w:hAnsi="Century Gothic" w:cs="Arial"/>
          <w:sz w:val="20"/>
          <w:szCs w:val="20"/>
        </w:rPr>
        <w:t xml:space="preserve">el </w:t>
      </w:r>
      <w:r w:rsidRPr="0098589A">
        <w:rPr>
          <w:rFonts w:ascii="Century Gothic" w:hAnsi="Century Gothic" w:cs="Arial"/>
          <w:sz w:val="20"/>
          <w:szCs w:val="20"/>
        </w:rPr>
        <w:t>área de Pagaduría en lo concerniente a</w:t>
      </w:r>
      <w:r>
        <w:rPr>
          <w:rFonts w:ascii="Century Gothic" w:hAnsi="Century Gothic" w:cs="Arial"/>
          <w:sz w:val="20"/>
          <w:szCs w:val="20"/>
        </w:rPr>
        <w:t xml:space="preserve"> </w:t>
      </w:r>
      <w:r w:rsidRPr="0098589A">
        <w:rPr>
          <w:rFonts w:ascii="Century Gothic" w:hAnsi="Century Gothic" w:cs="Arial"/>
          <w:sz w:val="20"/>
          <w:szCs w:val="20"/>
        </w:rPr>
        <w:t>l</w:t>
      </w:r>
      <w:r>
        <w:rPr>
          <w:rFonts w:ascii="Century Gothic" w:hAnsi="Century Gothic" w:cs="Arial"/>
          <w:sz w:val="20"/>
          <w:szCs w:val="20"/>
        </w:rPr>
        <w:t xml:space="preserve">a gestión y </w:t>
      </w:r>
      <w:r w:rsidRPr="0098589A">
        <w:rPr>
          <w:rFonts w:ascii="Century Gothic" w:hAnsi="Century Gothic" w:cs="Arial"/>
          <w:sz w:val="20"/>
          <w:szCs w:val="20"/>
        </w:rPr>
        <w:t xml:space="preserve"> manejo operativo de </w:t>
      </w:r>
      <w:r>
        <w:rPr>
          <w:rFonts w:ascii="Century Gothic" w:hAnsi="Century Gothic" w:cs="Arial"/>
          <w:sz w:val="20"/>
          <w:szCs w:val="20"/>
        </w:rPr>
        <w:t xml:space="preserve">actividades </w:t>
      </w:r>
      <w:r w:rsidRPr="0098589A">
        <w:rPr>
          <w:rFonts w:ascii="Century Gothic" w:hAnsi="Century Gothic" w:cs="Arial"/>
          <w:sz w:val="20"/>
          <w:szCs w:val="20"/>
        </w:rPr>
        <w:t xml:space="preserve">y con el ánimo de contar con información de manera oportuna </w:t>
      </w:r>
      <w:r>
        <w:rPr>
          <w:rFonts w:ascii="Century Gothic" w:hAnsi="Century Gothic" w:cs="Arial"/>
          <w:sz w:val="20"/>
          <w:szCs w:val="20"/>
        </w:rPr>
        <w:t xml:space="preserve">y confiable </w:t>
      </w:r>
      <w:r w:rsidRPr="0098589A">
        <w:rPr>
          <w:rFonts w:ascii="Century Gothic" w:hAnsi="Century Gothic" w:cs="Arial"/>
          <w:sz w:val="20"/>
          <w:szCs w:val="20"/>
        </w:rPr>
        <w:t xml:space="preserve">para la correcta toma de decisiones, se hace necesario contratar el apoyo de un Profesional </w:t>
      </w:r>
      <w:r>
        <w:rPr>
          <w:rFonts w:ascii="Century Gothic" w:hAnsi="Century Gothic" w:cs="Arial"/>
          <w:sz w:val="20"/>
          <w:szCs w:val="20"/>
        </w:rPr>
        <w:t xml:space="preserve">en </w:t>
      </w:r>
      <w:r w:rsidRPr="0098589A">
        <w:rPr>
          <w:rFonts w:ascii="Century Gothic" w:hAnsi="Century Gothic" w:cs="Arial"/>
          <w:sz w:val="20"/>
          <w:szCs w:val="20"/>
        </w:rPr>
        <w:t>Contad</w:t>
      </w:r>
      <w:r>
        <w:rPr>
          <w:rFonts w:ascii="Century Gothic" w:hAnsi="Century Gothic" w:cs="Arial"/>
          <w:sz w:val="20"/>
          <w:szCs w:val="20"/>
        </w:rPr>
        <w:t xml:space="preserve">uría </w:t>
      </w:r>
      <w:r w:rsidRPr="0098589A">
        <w:rPr>
          <w:rFonts w:ascii="Century Gothic" w:hAnsi="Century Gothic" w:cs="Arial"/>
          <w:sz w:val="20"/>
          <w:szCs w:val="20"/>
        </w:rPr>
        <w:t>públic</w:t>
      </w:r>
      <w:r>
        <w:rPr>
          <w:rFonts w:ascii="Century Gothic" w:hAnsi="Century Gothic" w:cs="Arial"/>
          <w:sz w:val="20"/>
          <w:szCs w:val="20"/>
        </w:rPr>
        <w:t>a</w:t>
      </w:r>
      <w:r w:rsidRPr="0098589A">
        <w:rPr>
          <w:rFonts w:ascii="Century Gothic" w:hAnsi="Century Gothic" w:cs="Arial"/>
          <w:sz w:val="20"/>
          <w:szCs w:val="20"/>
        </w:rPr>
        <w:t xml:space="preserve">, que permita </w:t>
      </w:r>
      <w:r>
        <w:rPr>
          <w:rFonts w:ascii="Century Gothic" w:hAnsi="Century Gothic" w:cs="Arial"/>
          <w:sz w:val="20"/>
          <w:szCs w:val="20"/>
        </w:rPr>
        <w:t>el asesoramiento, gestión, control y operación de procesos y procedimientos propios del área, con el ánimo de, prestar un mejor servicios financiero, descongestionar las dependencias y de mejorar los tiempos de entrega de informes financieros a los distintos órganos de control, usuarios internos y externos de la IES CINOC.</w:t>
      </w:r>
    </w:p>
    <w:p w:rsidR="00D728FF" w:rsidRDefault="00D728FF" w:rsidP="00EA34FE">
      <w:pPr>
        <w:jc w:val="both"/>
        <w:rPr>
          <w:rFonts w:ascii="Calibri" w:hAnsi="Calibri" w:cs="Calibri"/>
          <w:b/>
          <w:bCs/>
          <w:i/>
          <w:sz w:val="20"/>
          <w:szCs w:val="20"/>
          <w:u w:val="single"/>
        </w:rPr>
      </w:pPr>
    </w:p>
    <w:p w:rsidR="00D728FF" w:rsidRDefault="00D728FF" w:rsidP="00EA34FE">
      <w:pPr>
        <w:jc w:val="both"/>
        <w:rPr>
          <w:rFonts w:ascii="Calibri" w:hAnsi="Calibri" w:cs="Calibri"/>
          <w:b/>
          <w:bCs/>
          <w:i/>
          <w:sz w:val="20"/>
          <w:szCs w:val="20"/>
          <w:u w:val="single"/>
        </w:rPr>
      </w:pPr>
    </w:p>
    <w:p w:rsidR="00514288" w:rsidRDefault="00514288">
      <w:pPr>
        <w:rPr>
          <w:rFonts w:ascii="Calibri" w:hAnsi="Calibri" w:cs="Calibri"/>
          <w:b/>
          <w:bCs/>
          <w:i/>
          <w:sz w:val="20"/>
          <w:szCs w:val="20"/>
          <w:u w:val="single"/>
        </w:rPr>
      </w:pPr>
      <w:r>
        <w:rPr>
          <w:rFonts w:ascii="Calibri" w:hAnsi="Calibri" w:cs="Calibri"/>
          <w:b/>
          <w:bCs/>
          <w:i/>
          <w:sz w:val="20"/>
          <w:szCs w:val="20"/>
          <w:u w:val="single"/>
        </w:rPr>
        <w:br w:type="page"/>
      </w:r>
    </w:p>
    <w:p w:rsidR="00514288" w:rsidRDefault="00514288" w:rsidP="00EA34FE">
      <w:pPr>
        <w:jc w:val="both"/>
        <w:rPr>
          <w:rFonts w:ascii="Calibri" w:hAnsi="Calibri" w:cs="Calibri"/>
          <w:b/>
          <w:bCs/>
          <w:i/>
          <w:sz w:val="20"/>
          <w:szCs w:val="20"/>
          <w:u w:val="single"/>
        </w:rPr>
      </w:pPr>
      <w:r w:rsidRPr="00647A7F">
        <w:rPr>
          <w:rFonts w:ascii="Calibri" w:hAnsi="Calibri" w:cs="Calibri"/>
          <w:b/>
          <w:bCs/>
          <w:i/>
          <w:sz w:val="20"/>
          <w:szCs w:val="20"/>
          <w:u w:val="single"/>
        </w:rPr>
        <w:lastRenderedPageBreak/>
        <w:t xml:space="preserve">Anexo </w:t>
      </w:r>
      <w:r>
        <w:rPr>
          <w:rFonts w:ascii="Calibri" w:hAnsi="Calibri" w:cs="Calibri"/>
          <w:b/>
          <w:bCs/>
          <w:i/>
          <w:sz w:val="20"/>
          <w:szCs w:val="20"/>
          <w:u w:val="single"/>
        </w:rPr>
        <w:t>10</w:t>
      </w:r>
    </w:p>
    <w:p w:rsidR="00A374F0" w:rsidRPr="00A63439" w:rsidRDefault="00A374F0" w:rsidP="00A374F0">
      <w:pPr>
        <w:jc w:val="both"/>
        <w:rPr>
          <w:rFonts w:cstheme="minorHAnsi"/>
          <w:sz w:val="18"/>
          <w:szCs w:val="18"/>
        </w:rPr>
      </w:pPr>
      <w:r w:rsidRPr="00A63439">
        <w:rPr>
          <w:rFonts w:cstheme="minorHAnsi"/>
          <w:sz w:val="18"/>
          <w:szCs w:val="18"/>
        </w:rPr>
        <w:t>Por el cúmulo de actividades e implementación de nuevos planes en la institución la oficina de talento humano requiere de un apoyo temporal para la realización de actividades que permitan dar cumplimiento oportuno a los compromisos adquiridos por la institución. Entre los planes de la entidad mencionados se encuentran el proceso de cambio de carácter institucional que implica un proceso de reestructuración de las plantas administrativa y docente, todo lo anterior teniendo siempre en cuenta el marco del Modelo integrado de planeación y gestión – MIPG y del Sistema de Gestión de Calidad bajo la norma ISO 9001:2015.</w:t>
      </w:r>
    </w:p>
    <w:p w:rsidR="00A374F0" w:rsidRPr="00A63439" w:rsidRDefault="00A374F0" w:rsidP="00A374F0">
      <w:pPr>
        <w:jc w:val="both"/>
        <w:rPr>
          <w:rFonts w:cstheme="minorHAnsi"/>
          <w:sz w:val="18"/>
          <w:szCs w:val="18"/>
        </w:rPr>
      </w:pPr>
      <w:r w:rsidRPr="00A63439">
        <w:rPr>
          <w:rFonts w:cstheme="minorHAnsi"/>
          <w:sz w:val="18"/>
          <w:szCs w:val="18"/>
        </w:rPr>
        <w:t>Los anteriores planes tendrían una mayor celeridad en su ejecución si se cuenta con un apoyo profesional específico en la realización de los estudios necesarios para el rediseño de la estructura administrativa y planta de personal, además, debido a los compromisos en la formalización de empleos que tiene el gobierno nacional, se debe iniciar el proceso de creación de plantas temporales de empleos que puedan reemplazar las actividades que por proyectos se realizan mediante contratos de prestación de servicios.</w:t>
      </w:r>
    </w:p>
    <w:p w:rsidR="00A374F0" w:rsidRPr="00A63439" w:rsidRDefault="00A374F0" w:rsidP="00A374F0">
      <w:pPr>
        <w:jc w:val="both"/>
        <w:rPr>
          <w:rFonts w:cstheme="minorHAnsi"/>
          <w:sz w:val="18"/>
          <w:szCs w:val="18"/>
        </w:rPr>
      </w:pPr>
      <w:r w:rsidRPr="00A63439">
        <w:rPr>
          <w:rFonts w:cstheme="minorHAnsi"/>
          <w:sz w:val="18"/>
          <w:szCs w:val="18"/>
        </w:rPr>
        <w:t>La elaboración de los estudios de rediseño de la estructura organizacional en las entidades públicas requiere de unas etapas de diagnóstico, diseño, estudios financieros, definición de perfiles y necesidades de personal; actividades que deben ser realizadas por fases de la siguiente forma:</w:t>
      </w:r>
    </w:p>
    <w:tbl>
      <w:tblPr>
        <w:tblStyle w:val="Tablaconcuadrcula"/>
        <w:tblW w:w="0" w:type="auto"/>
        <w:tblLook w:val="04A0" w:firstRow="1" w:lastRow="0" w:firstColumn="1" w:lastColumn="0" w:noHBand="0" w:noVBand="1"/>
      </w:tblPr>
      <w:tblGrid>
        <w:gridCol w:w="3722"/>
        <w:gridCol w:w="851"/>
        <w:gridCol w:w="567"/>
        <w:gridCol w:w="567"/>
        <w:gridCol w:w="567"/>
        <w:gridCol w:w="567"/>
        <w:gridCol w:w="567"/>
        <w:gridCol w:w="425"/>
      </w:tblGrid>
      <w:tr w:rsidR="00A374F0" w:rsidRPr="00A63439" w:rsidTr="0042538C">
        <w:tc>
          <w:tcPr>
            <w:tcW w:w="3722" w:type="dxa"/>
          </w:tcPr>
          <w:p w:rsidR="00A374F0" w:rsidRPr="00A63439" w:rsidRDefault="00A374F0" w:rsidP="0042538C">
            <w:pPr>
              <w:jc w:val="center"/>
              <w:rPr>
                <w:rFonts w:cstheme="minorHAnsi"/>
                <w:b/>
                <w:sz w:val="18"/>
                <w:szCs w:val="18"/>
              </w:rPr>
            </w:pPr>
            <w:r w:rsidRPr="00A63439">
              <w:rPr>
                <w:rFonts w:cstheme="minorHAnsi"/>
                <w:b/>
                <w:sz w:val="18"/>
                <w:szCs w:val="18"/>
              </w:rPr>
              <w:t>Actividad</w:t>
            </w:r>
          </w:p>
        </w:tc>
        <w:tc>
          <w:tcPr>
            <w:tcW w:w="851" w:type="dxa"/>
          </w:tcPr>
          <w:p w:rsidR="00A374F0" w:rsidRPr="00A63439" w:rsidRDefault="00A374F0" w:rsidP="0042538C">
            <w:pPr>
              <w:jc w:val="center"/>
              <w:rPr>
                <w:rFonts w:cstheme="minorHAnsi"/>
                <w:b/>
                <w:sz w:val="18"/>
                <w:szCs w:val="18"/>
              </w:rPr>
            </w:pPr>
            <w:r w:rsidRPr="00A63439">
              <w:rPr>
                <w:rFonts w:cstheme="minorHAnsi"/>
                <w:b/>
                <w:sz w:val="18"/>
                <w:szCs w:val="18"/>
              </w:rPr>
              <w:t>Mes 1</w:t>
            </w:r>
          </w:p>
        </w:tc>
        <w:tc>
          <w:tcPr>
            <w:tcW w:w="567" w:type="dxa"/>
          </w:tcPr>
          <w:p w:rsidR="00A374F0" w:rsidRPr="00A63439" w:rsidRDefault="00A374F0" w:rsidP="0042538C">
            <w:pPr>
              <w:jc w:val="center"/>
              <w:rPr>
                <w:rFonts w:cstheme="minorHAnsi"/>
                <w:b/>
                <w:sz w:val="18"/>
                <w:szCs w:val="18"/>
              </w:rPr>
            </w:pPr>
            <w:r w:rsidRPr="00A63439">
              <w:rPr>
                <w:rFonts w:cstheme="minorHAnsi"/>
                <w:b/>
                <w:sz w:val="18"/>
                <w:szCs w:val="18"/>
              </w:rPr>
              <w:t>2</w:t>
            </w:r>
          </w:p>
        </w:tc>
        <w:tc>
          <w:tcPr>
            <w:tcW w:w="567" w:type="dxa"/>
          </w:tcPr>
          <w:p w:rsidR="00A374F0" w:rsidRPr="00A63439" w:rsidRDefault="00A374F0" w:rsidP="0042538C">
            <w:pPr>
              <w:jc w:val="center"/>
              <w:rPr>
                <w:rFonts w:cstheme="minorHAnsi"/>
                <w:b/>
                <w:sz w:val="18"/>
                <w:szCs w:val="18"/>
              </w:rPr>
            </w:pPr>
            <w:r w:rsidRPr="00A63439">
              <w:rPr>
                <w:rFonts w:cstheme="minorHAnsi"/>
                <w:b/>
                <w:sz w:val="18"/>
                <w:szCs w:val="18"/>
              </w:rPr>
              <w:t>3</w:t>
            </w:r>
          </w:p>
        </w:tc>
        <w:tc>
          <w:tcPr>
            <w:tcW w:w="567" w:type="dxa"/>
          </w:tcPr>
          <w:p w:rsidR="00A374F0" w:rsidRPr="00A63439" w:rsidRDefault="00A374F0" w:rsidP="0042538C">
            <w:pPr>
              <w:jc w:val="center"/>
              <w:rPr>
                <w:rFonts w:cstheme="minorHAnsi"/>
                <w:b/>
                <w:sz w:val="18"/>
                <w:szCs w:val="18"/>
              </w:rPr>
            </w:pPr>
            <w:r w:rsidRPr="00A63439">
              <w:rPr>
                <w:rFonts w:cstheme="minorHAnsi"/>
                <w:b/>
                <w:sz w:val="18"/>
                <w:szCs w:val="18"/>
              </w:rPr>
              <w:t>4</w:t>
            </w:r>
          </w:p>
        </w:tc>
        <w:tc>
          <w:tcPr>
            <w:tcW w:w="567" w:type="dxa"/>
          </w:tcPr>
          <w:p w:rsidR="00A374F0" w:rsidRPr="00A63439" w:rsidRDefault="00A374F0" w:rsidP="0042538C">
            <w:pPr>
              <w:jc w:val="center"/>
              <w:rPr>
                <w:rFonts w:cstheme="minorHAnsi"/>
                <w:b/>
                <w:sz w:val="18"/>
                <w:szCs w:val="18"/>
              </w:rPr>
            </w:pPr>
            <w:r w:rsidRPr="00A63439">
              <w:rPr>
                <w:rFonts w:cstheme="minorHAnsi"/>
                <w:b/>
                <w:sz w:val="18"/>
                <w:szCs w:val="18"/>
              </w:rPr>
              <w:t>5</w:t>
            </w:r>
          </w:p>
        </w:tc>
        <w:tc>
          <w:tcPr>
            <w:tcW w:w="567" w:type="dxa"/>
          </w:tcPr>
          <w:p w:rsidR="00A374F0" w:rsidRPr="00A63439" w:rsidRDefault="00A374F0" w:rsidP="0042538C">
            <w:pPr>
              <w:jc w:val="center"/>
              <w:rPr>
                <w:rFonts w:cstheme="minorHAnsi"/>
                <w:b/>
                <w:sz w:val="18"/>
                <w:szCs w:val="18"/>
              </w:rPr>
            </w:pPr>
            <w:r w:rsidRPr="00A63439">
              <w:rPr>
                <w:rFonts w:cstheme="minorHAnsi"/>
                <w:b/>
                <w:sz w:val="18"/>
                <w:szCs w:val="18"/>
              </w:rPr>
              <w:t>6</w:t>
            </w:r>
          </w:p>
        </w:tc>
        <w:tc>
          <w:tcPr>
            <w:tcW w:w="425" w:type="dxa"/>
          </w:tcPr>
          <w:p w:rsidR="00A374F0" w:rsidRPr="00A63439" w:rsidRDefault="00A374F0" w:rsidP="0042538C">
            <w:pPr>
              <w:jc w:val="center"/>
              <w:rPr>
                <w:rFonts w:cstheme="minorHAnsi"/>
                <w:b/>
                <w:sz w:val="18"/>
                <w:szCs w:val="18"/>
              </w:rPr>
            </w:pPr>
            <w:r w:rsidRPr="00A63439">
              <w:rPr>
                <w:rFonts w:cstheme="minorHAnsi"/>
                <w:b/>
                <w:sz w:val="18"/>
                <w:szCs w:val="18"/>
              </w:rPr>
              <w:t>7</w:t>
            </w:r>
          </w:p>
        </w:tc>
      </w:tr>
      <w:tr w:rsidR="00A374F0" w:rsidRPr="00A63439" w:rsidTr="0042538C">
        <w:tc>
          <w:tcPr>
            <w:tcW w:w="3722" w:type="dxa"/>
          </w:tcPr>
          <w:p w:rsidR="00A374F0" w:rsidRPr="00A63439" w:rsidRDefault="00A374F0" w:rsidP="0042538C">
            <w:pPr>
              <w:jc w:val="both"/>
              <w:rPr>
                <w:rFonts w:cstheme="minorHAnsi"/>
                <w:sz w:val="18"/>
                <w:szCs w:val="18"/>
              </w:rPr>
            </w:pPr>
            <w:r w:rsidRPr="00A63439">
              <w:rPr>
                <w:rFonts w:cstheme="minorHAnsi"/>
                <w:sz w:val="18"/>
                <w:szCs w:val="18"/>
              </w:rPr>
              <w:t>Diagnóstico institucional</w:t>
            </w:r>
          </w:p>
        </w:tc>
        <w:tc>
          <w:tcPr>
            <w:tcW w:w="851" w:type="dxa"/>
          </w:tcPr>
          <w:p w:rsidR="00A374F0" w:rsidRPr="00A63439" w:rsidRDefault="00A374F0" w:rsidP="0042538C">
            <w:pPr>
              <w:jc w:val="both"/>
              <w:rPr>
                <w:rFonts w:cstheme="minorHAnsi"/>
                <w:sz w:val="18"/>
                <w:szCs w:val="18"/>
              </w:rPr>
            </w:pPr>
            <w:r w:rsidRPr="00A63439">
              <w:rPr>
                <w:rFonts w:cstheme="minorHAnsi"/>
                <w:sz w:val="18"/>
                <w:szCs w:val="18"/>
              </w:rPr>
              <w:t>x</w:t>
            </w: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425" w:type="dxa"/>
          </w:tcPr>
          <w:p w:rsidR="00A374F0" w:rsidRPr="00A63439" w:rsidRDefault="00A374F0" w:rsidP="0042538C">
            <w:pPr>
              <w:jc w:val="both"/>
              <w:rPr>
                <w:rFonts w:cstheme="minorHAnsi"/>
                <w:sz w:val="18"/>
                <w:szCs w:val="18"/>
              </w:rPr>
            </w:pPr>
          </w:p>
        </w:tc>
      </w:tr>
      <w:tr w:rsidR="00A374F0" w:rsidRPr="00A63439" w:rsidTr="0042538C">
        <w:tc>
          <w:tcPr>
            <w:tcW w:w="3722" w:type="dxa"/>
          </w:tcPr>
          <w:p w:rsidR="00A374F0" w:rsidRPr="00A63439" w:rsidRDefault="00A374F0" w:rsidP="0042538C">
            <w:pPr>
              <w:jc w:val="both"/>
              <w:rPr>
                <w:rFonts w:cstheme="minorHAnsi"/>
                <w:sz w:val="18"/>
                <w:szCs w:val="18"/>
              </w:rPr>
            </w:pPr>
            <w:r w:rsidRPr="00A63439">
              <w:rPr>
                <w:rFonts w:cstheme="minorHAnsi"/>
                <w:sz w:val="18"/>
                <w:szCs w:val="18"/>
              </w:rPr>
              <w:t>Diseño estructura</w:t>
            </w:r>
          </w:p>
        </w:tc>
        <w:tc>
          <w:tcPr>
            <w:tcW w:w="851" w:type="dxa"/>
          </w:tcPr>
          <w:p w:rsidR="00A374F0" w:rsidRPr="00A63439" w:rsidRDefault="00A374F0" w:rsidP="0042538C">
            <w:pPr>
              <w:jc w:val="both"/>
              <w:rPr>
                <w:rFonts w:cstheme="minorHAnsi"/>
                <w:sz w:val="18"/>
                <w:szCs w:val="18"/>
              </w:rPr>
            </w:pPr>
            <w:r w:rsidRPr="00A63439">
              <w:rPr>
                <w:rFonts w:cstheme="minorHAnsi"/>
                <w:sz w:val="18"/>
                <w:szCs w:val="18"/>
              </w:rPr>
              <w:t>x</w:t>
            </w: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425" w:type="dxa"/>
          </w:tcPr>
          <w:p w:rsidR="00A374F0" w:rsidRPr="00A63439" w:rsidRDefault="00A374F0" w:rsidP="0042538C">
            <w:pPr>
              <w:jc w:val="both"/>
              <w:rPr>
                <w:rFonts w:cstheme="minorHAnsi"/>
                <w:sz w:val="18"/>
                <w:szCs w:val="18"/>
              </w:rPr>
            </w:pPr>
          </w:p>
        </w:tc>
      </w:tr>
      <w:tr w:rsidR="00A374F0" w:rsidRPr="00A63439" w:rsidTr="0042538C">
        <w:tc>
          <w:tcPr>
            <w:tcW w:w="3722" w:type="dxa"/>
          </w:tcPr>
          <w:p w:rsidR="00A374F0" w:rsidRPr="00A63439" w:rsidRDefault="00A374F0" w:rsidP="0042538C">
            <w:pPr>
              <w:jc w:val="both"/>
              <w:rPr>
                <w:rFonts w:cstheme="minorHAnsi"/>
                <w:sz w:val="18"/>
                <w:szCs w:val="18"/>
              </w:rPr>
            </w:pPr>
            <w:r w:rsidRPr="00A63439">
              <w:rPr>
                <w:rFonts w:cstheme="minorHAnsi"/>
                <w:sz w:val="18"/>
                <w:szCs w:val="18"/>
              </w:rPr>
              <w:t>Análisis financiero</w:t>
            </w:r>
          </w:p>
        </w:tc>
        <w:tc>
          <w:tcPr>
            <w:tcW w:w="851"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r w:rsidRPr="00A63439">
              <w:rPr>
                <w:rFonts w:cstheme="minorHAnsi"/>
                <w:sz w:val="18"/>
                <w:szCs w:val="18"/>
              </w:rPr>
              <w:t>x</w:t>
            </w:r>
          </w:p>
        </w:tc>
        <w:tc>
          <w:tcPr>
            <w:tcW w:w="567" w:type="dxa"/>
          </w:tcPr>
          <w:p w:rsidR="00A374F0" w:rsidRPr="00A63439" w:rsidRDefault="00A374F0" w:rsidP="0042538C">
            <w:pPr>
              <w:jc w:val="both"/>
              <w:rPr>
                <w:rFonts w:cstheme="minorHAnsi"/>
                <w:sz w:val="18"/>
                <w:szCs w:val="18"/>
              </w:rPr>
            </w:pPr>
            <w:r w:rsidRPr="00A63439">
              <w:rPr>
                <w:rFonts w:cstheme="minorHAnsi"/>
                <w:sz w:val="18"/>
                <w:szCs w:val="18"/>
              </w:rPr>
              <w:t>x</w:t>
            </w: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425" w:type="dxa"/>
          </w:tcPr>
          <w:p w:rsidR="00A374F0" w:rsidRPr="00A63439" w:rsidRDefault="00A374F0" w:rsidP="0042538C">
            <w:pPr>
              <w:jc w:val="both"/>
              <w:rPr>
                <w:rFonts w:cstheme="minorHAnsi"/>
                <w:sz w:val="18"/>
                <w:szCs w:val="18"/>
              </w:rPr>
            </w:pPr>
          </w:p>
        </w:tc>
      </w:tr>
      <w:tr w:rsidR="00A374F0" w:rsidRPr="00A63439" w:rsidTr="0042538C">
        <w:tc>
          <w:tcPr>
            <w:tcW w:w="3722" w:type="dxa"/>
          </w:tcPr>
          <w:p w:rsidR="00A374F0" w:rsidRPr="00A63439" w:rsidRDefault="00A374F0" w:rsidP="0042538C">
            <w:pPr>
              <w:jc w:val="both"/>
              <w:rPr>
                <w:rFonts w:cstheme="minorHAnsi"/>
                <w:sz w:val="18"/>
                <w:szCs w:val="18"/>
              </w:rPr>
            </w:pPr>
            <w:r w:rsidRPr="00A63439">
              <w:rPr>
                <w:rFonts w:cstheme="minorHAnsi"/>
                <w:sz w:val="18"/>
                <w:szCs w:val="18"/>
              </w:rPr>
              <w:t>Definición de perfiles</w:t>
            </w:r>
          </w:p>
        </w:tc>
        <w:tc>
          <w:tcPr>
            <w:tcW w:w="851"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r w:rsidRPr="00A63439">
              <w:rPr>
                <w:rFonts w:cstheme="minorHAnsi"/>
                <w:sz w:val="18"/>
                <w:szCs w:val="18"/>
              </w:rPr>
              <w:t>x</w:t>
            </w:r>
          </w:p>
        </w:tc>
        <w:tc>
          <w:tcPr>
            <w:tcW w:w="567" w:type="dxa"/>
          </w:tcPr>
          <w:p w:rsidR="00A374F0" w:rsidRPr="00A63439" w:rsidRDefault="00A374F0" w:rsidP="0042538C">
            <w:pPr>
              <w:jc w:val="both"/>
              <w:rPr>
                <w:rFonts w:cstheme="minorHAnsi"/>
                <w:sz w:val="18"/>
                <w:szCs w:val="18"/>
              </w:rPr>
            </w:pPr>
            <w:r w:rsidRPr="00A63439">
              <w:rPr>
                <w:rFonts w:cstheme="minorHAnsi"/>
                <w:sz w:val="18"/>
                <w:szCs w:val="18"/>
              </w:rPr>
              <w:t>x</w:t>
            </w: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425" w:type="dxa"/>
          </w:tcPr>
          <w:p w:rsidR="00A374F0" w:rsidRPr="00A63439" w:rsidRDefault="00A374F0" w:rsidP="0042538C">
            <w:pPr>
              <w:jc w:val="both"/>
              <w:rPr>
                <w:rFonts w:cstheme="minorHAnsi"/>
                <w:sz w:val="18"/>
                <w:szCs w:val="18"/>
              </w:rPr>
            </w:pPr>
          </w:p>
        </w:tc>
      </w:tr>
      <w:tr w:rsidR="00A374F0" w:rsidRPr="00A63439" w:rsidTr="0042538C">
        <w:tc>
          <w:tcPr>
            <w:tcW w:w="3722" w:type="dxa"/>
          </w:tcPr>
          <w:p w:rsidR="00A374F0" w:rsidRPr="00A63439" w:rsidRDefault="00A374F0" w:rsidP="0042538C">
            <w:pPr>
              <w:jc w:val="both"/>
              <w:rPr>
                <w:rFonts w:cstheme="minorHAnsi"/>
                <w:sz w:val="18"/>
                <w:szCs w:val="18"/>
              </w:rPr>
            </w:pPr>
            <w:r w:rsidRPr="00A63439">
              <w:rPr>
                <w:rFonts w:cstheme="minorHAnsi"/>
                <w:sz w:val="18"/>
                <w:szCs w:val="18"/>
              </w:rPr>
              <w:t>Estudio de cargas</w:t>
            </w:r>
          </w:p>
        </w:tc>
        <w:tc>
          <w:tcPr>
            <w:tcW w:w="851"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r w:rsidRPr="00A63439">
              <w:rPr>
                <w:rFonts w:cstheme="minorHAnsi"/>
                <w:sz w:val="18"/>
                <w:szCs w:val="18"/>
              </w:rPr>
              <w:t>x</w:t>
            </w:r>
          </w:p>
        </w:tc>
        <w:tc>
          <w:tcPr>
            <w:tcW w:w="567" w:type="dxa"/>
          </w:tcPr>
          <w:p w:rsidR="00A374F0" w:rsidRPr="00A63439" w:rsidRDefault="00A374F0" w:rsidP="0042538C">
            <w:pPr>
              <w:jc w:val="both"/>
              <w:rPr>
                <w:rFonts w:cstheme="minorHAnsi"/>
                <w:sz w:val="18"/>
                <w:szCs w:val="18"/>
              </w:rPr>
            </w:pPr>
            <w:r w:rsidRPr="00A63439">
              <w:rPr>
                <w:rFonts w:cstheme="minorHAnsi"/>
                <w:sz w:val="18"/>
                <w:szCs w:val="18"/>
              </w:rPr>
              <w:t>x</w:t>
            </w:r>
          </w:p>
        </w:tc>
        <w:tc>
          <w:tcPr>
            <w:tcW w:w="567" w:type="dxa"/>
          </w:tcPr>
          <w:p w:rsidR="00A374F0" w:rsidRPr="00A63439" w:rsidRDefault="00A374F0" w:rsidP="0042538C">
            <w:pPr>
              <w:jc w:val="both"/>
              <w:rPr>
                <w:rFonts w:cstheme="minorHAnsi"/>
                <w:sz w:val="18"/>
                <w:szCs w:val="18"/>
              </w:rPr>
            </w:pPr>
            <w:r w:rsidRPr="00A63439">
              <w:rPr>
                <w:rFonts w:cstheme="minorHAnsi"/>
                <w:sz w:val="18"/>
                <w:szCs w:val="18"/>
              </w:rPr>
              <w:t>x</w:t>
            </w:r>
          </w:p>
        </w:tc>
        <w:tc>
          <w:tcPr>
            <w:tcW w:w="567" w:type="dxa"/>
          </w:tcPr>
          <w:p w:rsidR="00A374F0" w:rsidRPr="00A63439" w:rsidRDefault="00A374F0" w:rsidP="0042538C">
            <w:pPr>
              <w:jc w:val="both"/>
              <w:rPr>
                <w:rFonts w:cstheme="minorHAnsi"/>
                <w:sz w:val="18"/>
                <w:szCs w:val="18"/>
              </w:rPr>
            </w:pPr>
            <w:r w:rsidRPr="00A63439">
              <w:rPr>
                <w:rFonts w:cstheme="minorHAnsi"/>
                <w:sz w:val="18"/>
                <w:szCs w:val="18"/>
              </w:rPr>
              <w:t>x</w:t>
            </w:r>
          </w:p>
        </w:tc>
        <w:tc>
          <w:tcPr>
            <w:tcW w:w="567" w:type="dxa"/>
          </w:tcPr>
          <w:p w:rsidR="00A374F0" w:rsidRPr="00A63439" w:rsidRDefault="00A374F0" w:rsidP="0042538C">
            <w:pPr>
              <w:jc w:val="both"/>
              <w:rPr>
                <w:rFonts w:cstheme="minorHAnsi"/>
                <w:sz w:val="18"/>
                <w:szCs w:val="18"/>
              </w:rPr>
            </w:pPr>
          </w:p>
        </w:tc>
        <w:tc>
          <w:tcPr>
            <w:tcW w:w="425" w:type="dxa"/>
          </w:tcPr>
          <w:p w:rsidR="00A374F0" w:rsidRPr="00A63439" w:rsidRDefault="00A374F0" w:rsidP="0042538C">
            <w:pPr>
              <w:jc w:val="both"/>
              <w:rPr>
                <w:rFonts w:cstheme="minorHAnsi"/>
                <w:sz w:val="18"/>
                <w:szCs w:val="18"/>
              </w:rPr>
            </w:pPr>
          </w:p>
        </w:tc>
      </w:tr>
      <w:tr w:rsidR="00A374F0" w:rsidRPr="00A63439" w:rsidTr="0042538C">
        <w:tc>
          <w:tcPr>
            <w:tcW w:w="3722" w:type="dxa"/>
          </w:tcPr>
          <w:p w:rsidR="00A374F0" w:rsidRPr="00A63439" w:rsidRDefault="00A374F0" w:rsidP="0042538C">
            <w:pPr>
              <w:jc w:val="both"/>
              <w:rPr>
                <w:rFonts w:cstheme="minorHAnsi"/>
                <w:sz w:val="18"/>
                <w:szCs w:val="18"/>
              </w:rPr>
            </w:pPr>
            <w:r w:rsidRPr="00A63439">
              <w:rPr>
                <w:rFonts w:cstheme="minorHAnsi"/>
                <w:sz w:val="18"/>
                <w:szCs w:val="18"/>
              </w:rPr>
              <w:t>Proyección y entrega de documentos de estudios técnicos</w:t>
            </w:r>
          </w:p>
        </w:tc>
        <w:tc>
          <w:tcPr>
            <w:tcW w:w="851"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r w:rsidRPr="00A63439">
              <w:rPr>
                <w:rFonts w:cstheme="minorHAnsi"/>
                <w:sz w:val="18"/>
                <w:szCs w:val="18"/>
              </w:rPr>
              <w:t>x</w:t>
            </w:r>
          </w:p>
        </w:tc>
        <w:tc>
          <w:tcPr>
            <w:tcW w:w="425" w:type="dxa"/>
          </w:tcPr>
          <w:p w:rsidR="00A374F0" w:rsidRPr="00A63439" w:rsidRDefault="00A374F0" w:rsidP="0042538C">
            <w:pPr>
              <w:jc w:val="both"/>
              <w:rPr>
                <w:rFonts w:cstheme="minorHAnsi"/>
                <w:sz w:val="18"/>
                <w:szCs w:val="18"/>
              </w:rPr>
            </w:pPr>
          </w:p>
        </w:tc>
      </w:tr>
      <w:tr w:rsidR="00A374F0" w:rsidRPr="00A63439" w:rsidTr="0042538C">
        <w:tc>
          <w:tcPr>
            <w:tcW w:w="3722" w:type="dxa"/>
          </w:tcPr>
          <w:p w:rsidR="00A374F0" w:rsidRPr="00A63439" w:rsidRDefault="00A374F0" w:rsidP="0042538C">
            <w:pPr>
              <w:jc w:val="both"/>
              <w:rPr>
                <w:rFonts w:cstheme="minorHAnsi"/>
                <w:sz w:val="18"/>
                <w:szCs w:val="18"/>
              </w:rPr>
            </w:pPr>
            <w:r w:rsidRPr="00A63439">
              <w:rPr>
                <w:rFonts w:cstheme="minorHAnsi"/>
                <w:sz w:val="18"/>
                <w:szCs w:val="18"/>
              </w:rPr>
              <w:t>Revisión y corrección de documentos</w:t>
            </w:r>
          </w:p>
        </w:tc>
        <w:tc>
          <w:tcPr>
            <w:tcW w:w="851"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567" w:type="dxa"/>
          </w:tcPr>
          <w:p w:rsidR="00A374F0" w:rsidRPr="00A63439" w:rsidRDefault="00A374F0" w:rsidP="0042538C">
            <w:pPr>
              <w:jc w:val="both"/>
              <w:rPr>
                <w:rFonts w:cstheme="minorHAnsi"/>
                <w:sz w:val="18"/>
                <w:szCs w:val="18"/>
              </w:rPr>
            </w:pPr>
          </w:p>
        </w:tc>
        <w:tc>
          <w:tcPr>
            <w:tcW w:w="425" w:type="dxa"/>
          </w:tcPr>
          <w:p w:rsidR="00A374F0" w:rsidRPr="00A63439" w:rsidRDefault="00A374F0" w:rsidP="0042538C">
            <w:pPr>
              <w:jc w:val="both"/>
              <w:rPr>
                <w:rFonts w:cstheme="minorHAnsi"/>
                <w:sz w:val="18"/>
                <w:szCs w:val="18"/>
              </w:rPr>
            </w:pPr>
            <w:r w:rsidRPr="00A63439">
              <w:rPr>
                <w:rFonts w:cstheme="minorHAnsi"/>
                <w:sz w:val="18"/>
                <w:szCs w:val="18"/>
              </w:rPr>
              <w:t>x</w:t>
            </w:r>
          </w:p>
        </w:tc>
      </w:tr>
    </w:tbl>
    <w:p w:rsidR="00A374F0" w:rsidRPr="00A63439" w:rsidRDefault="00A374F0" w:rsidP="00A374F0">
      <w:pPr>
        <w:jc w:val="both"/>
        <w:rPr>
          <w:rFonts w:cstheme="minorHAnsi"/>
          <w:sz w:val="18"/>
          <w:szCs w:val="18"/>
        </w:rPr>
      </w:pPr>
    </w:p>
    <w:p w:rsidR="00514288" w:rsidRDefault="00A374F0" w:rsidP="00FB425B">
      <w:pPr>
        <w:jc w:val="both"/>
        <w:rPr>
          <w:rFonts w:ascii="Calibri" w:hAnsi="Calibri" w:cs="Calibri"/>
          <w:b/>
          <w:bCs/>
          <w:i/>
          <w:sz w:val="20"/>
          <w:szCs w:val="20"/>
          <w:u w:val="single"/>
        </w:rPr>
      </w:pPr>
      <w:r w:rsidRPr="00A63439">
        <w:rPr>
          <w:rFonts w:cstheme="minorHAnsi"/>
          <w:sz w:val="18"/>
          <w:szCs w:val="18"/>
        </w:rPr>
        <w:t>Para el cumplimiento cabal del contrato se estima un tiempo mínimo de siete meses, el cual debe ser revisado de acuerdo a las eventualidades que se puedan presentar, se debe tener en cuenta también que el estudio técnico para la propuesta de una planta temporal de empleos requiere prácticamente las mismas etapas que las del rediseño de la estructura organizacional de la institución aunque con menor alcance, dicha actividad deberá realizarse de manera paralela.</w:t>
      </w:r>
      <w:r w:rsidR="00514288">
        <w:rPr>
          <w:rFonts w:ascii="Calibri" w:hAnsi="Calibri" w:cs="Calibri"/>
          <w:b/>
          <w:bCs/>
          <w:i/>
          <w:sz w:val="20"/>
          <w:szCs w:val="20"/>
          <w:u w:val="single"/>
        </w:rPr>
        <w:br w:type="page"/>
      </w:r>
    </w:p>
    <w:p w:rsidR="00514288" w:rsidRDefault="00514288" w:rsidP="00EA34FE">
      <w:pPr>
        <w:jc w:val="both"/>
        <w:rPr>
          <w:rFonts w:ascii="Calibri" w:hAnsi="Calibri" w:cs="Calibri"/>
          <w:b/>
          <w:bCs/>
          <w:i/>
          <w:sz w:val="20"/>
          <w:szCs w:val="20"/>
          <w:u w:val="single"/>
        </w:rPr>
      </w:pPr>
      <w:r w:rsidRPr="00647A7F">
        <w:rPr>
          <w:rFonts w:ascii="Calibri" w:hAnsi="Calibri" w:cs="Calibri"/>
          <w:b/>
          <w:bCs/>
          <w:i/>
          <w:sz w:val="20"/>
          <w:szCs w:val="20"/>
          <w:u w:val="single"/>
        </w:rPr>
        <w:lastRenderedPageBreak/>
        <w:t xml:space="preserve">Anexo </w:t>
      </w:r>
      <w:r>
        <w:rPr>
          <w:rFonts w:ascii="Calibri" w:hAnsi="Calibri" w:cs="Calibri"/>
          <w:b/>
          <w:bCs/>
          <w:i/>
          <w:sz w:val="20"/>
          <w:szCs w:val="20"/>
          <w:u w:val="single"/>
        </w:rPr>
        <w:t>11</w:t>
      </w:r>
    </w:p>
    <w:p w:rsidR="00FA6147" w:rsidRDefault="00FA6147" w:rsidP="00FA6147">
      <w:pPr>
        <w:jc w:val="both"/>
        <w:rPr>
          <w:rFonts w:ascii="Century Gothic" w:hAnsi="Century Gothic"/>
          <w:sz w:val="16"/>
          <w:szCs w:val="16"/>
        </w:rPr>
      </w:pPr>
      <w:r>
        <w:rPr>
          <w:rFonts w:ascii="Century Gothic" w:hAnsi="Century Gothic"/>
          <w:sz w:val="16"/>
          <w:szCs w:val="16"/>
        </w:rPr>
        <w:t>El desarrollo y perspectivas actuales de la institución requieren mayor valor agregado de los procesos de comunicación interna y externa de la entidad de tal manera que se integren al plan de mercadeo institucional para generar más visibilidad de la institución al exterior y un mejor flujo de información al interior de las dependencias, lo cual supondría también beneficios en la eficiencia de los procesos y en el clima organizacional de la entidad.</w:t>
      </w:r>
    </w:p>
    <w:p w:rsidR="00FA6147" w:rsidRDefault="00FA6147" w:rsidP="00FA6147">
      <w:pPr>
        <w:jc w:val="both"/>
        <w:rPr>
          <w:rFonts w:ascii="Century Gothic" w:hAnsi="Century Gothic"/>
          <w:sz w:val="16"/>
          <w:szCs w:val="16"/>
        </w:rPr>
      </w:pPr>
      <w:r>
        <w:rPr>
          <w:rFonts w:ascii="Century Gothic" w:hAnsi="Century Gothic"/>
          <w:sz w:val="16"/>
          <w:szCs w:val="16"/>
        </w:rPr>
        <w:t>Igualmente se hace necesario la creación de capacidades internas en los funcionarios para comunicar permanente y eficientemente las actividades institucionales que desarrollan y en caso contrario buscar la información, procesarla y comunicarla mediante boletines y publicaciones, tema que complementa al plan de mercadeo en su función de dar a conocer la entidad a la comunidad educativa.</w:t>
      </w:r>
    </w:p>
    <w:p w:rsidR="00514288" w:rsidRDefault="00FA6147" w:rsidP="00FA6147">
      <w:pPr>
        <w:jc w:val="both"/>
        <w:rPr>
          <w:rFonts w:ascii="Calibri" w:hAnsi="Calibri" w:cs="Calibri"/>
          <w:b/>
          <w:bCs/>
          <w:i/>
          <w:sz w:val="20"/>
          <w:szCs w:val="20"/>
          <w:u w:val="single"/>
        </w:rPr>
      </w:pPr>
      <w:r>
        <w:rPr>
          <w:rFonts w:ascii="Century Gothic" w:hAnsi="Century Gothic"/>
          <w:sz w:val="16"/>
          <w:szCs w:val="16"/>
        </w:rPr>
        <w:t>Otro aspecto importante en los planes del 2020 es la consolidación de la página web de la institución como una herramienta que permita comunicaciones más dinámicas e interactivas con los socios de valor (stakeholders) de la institución, dicha página requiere de mecanismos de medición y gestión de contenido (Newsletter, bases de datos, relacionamiento con periodistas, google analytics, entre otros) con altos estándares de redacción, usabilidad e interfaz.</w:t>
      </w:r>
      <w:r w:rsidR="00514288">
        <w:rPr>
          <w:rFonts w:ascii="Calibri" w:hAnsi="Calibri" w:cs="Calibri"/>
          <w:b/>
          <w:bCs/>
          <w:i/>
          <w:sz w:val="20"/>
          <w:szCs w:val="20"/>
          <w:u w:val="single"/>
        </w:rPr>
        <w:br w:type="page"/>
      </w:r>
    </w:p>
    <w:p w:rsidR="00514288" w:rsidRDefault="00514288" w:rsidP="00EA34FE">
      <w:pPr>
        <w:jc w:val="both"/>
        <w:rPr>
          <w:rFonts w:ascii="Calibri" w:hAnsi="Calibri" w:cs="Calibri"/>
          <w:b/>
          <w:bCs/>
          <w:i/>
          <w:sz w:val="20"/>
          <w:szCs w:val="20"/>
          <w:u w:val="single"/>
        </w:rPr>
      </w:pPr>
      <w:r w:rsidRPr="00647A7F">
        <w:rPr>
          <w:rFonts w:ascii="Calibri" w:hAnsi="Calibri" w:cs="Calibri"/>
          <w:b/>
          <w:bCs/>
          <w:i/>
          <w:sz w:val="20"/>
          <w:szCs w:val="20"/>
          <w:u w:val="single"/>
        </w:rPr>
        <w:lastRenderedPageBreak/>
        <w:t xml:space="preserve">Anexo </w:t>
      </w:r>
      <w:r>
        <w:rPr>
          <w:rFonts w:ascii="Calibri" w:hAnsi="Calibri" w:cs="Calibri"/>
          <w:b/>
          <w:bCs/>
          <w:i/>
          <w:sz w:val="20"/>
          <w:szCs w:val="20"/>
          <w:u w:val="single"/>
        </w:rPr>
        <w:t>12</w:t>
      </w:r>
    </w:p>
    <w:p w:rsidR="008A6BA1" w:rsidRDefault="008A6BA1" w:rsidP="008A6BA1">
      <w:pPr>
        <w:jc w:val="both"/>
        <w:rPr>
          <w:rFonts w:ascii="Century Gothic" w:hAnsi="Century Gothic"/>
          <w:sz w:val="16"/>
          <w:szCs w:val="16"/>
        </w:rPr>
      </w:pPr>
      <w:r>
        <w:rPr>
          <w:rFonts w:ascii="Century Gothic" w:hAnsi="Century Gothic"/>
          <w:sz w:val="16"/>
          <w:szCs w:val="16"/>
        </w:rPr>
        <w:t>El desarrollo y perspectivas actuales de la institución requieren mayor valor agregado de los procesos de comunicación interna y externa de la entidad de tal manera que se integren al plan de mercadeo institucional para generar más visibilidad de la institución al exterior y un mejor flujo de información al interior de las dependencias, lo cual supondría también beneficios en la eficiencia de los procesos y en el clima organizacional de la entidad.</w:t>
      </w:r>
    </w:p>
    <w:p w:rsidR="008A6BA1" w:rsidRDefault="008A6BA1" w:rsidP="008A6BA1">
      <w:pPr>
        <w:jc w:val="both"/>
        <w:rPr>
          <w:rFonts w:ascii="Century Gothic" w:hAnsi="Century Gothic"/>
          <w:sz w:val="16"/>
          <w:szCs w:val="16"/>
        </w:rPr>
      </w:pPr>
      <w:r>
        <w:rPr>
          <w:rFonts w:ascii="Century Gothic" w:hAnsi="Century Gothic"/>
          <w:sz w:val="16"/>
          <w:szCs w:val="16"/>
        </w:rPr>
        <w:t>Adicionalmente se hace necesario que los diseños producidos por el área de Mercadeo, Información y Comunicación sean realizados con la debida oportunidad y calidad para que presten un apoyo efectivo a las dependencias misionales y administrativas de la entidad a la hora de comunicar los planes, programas y proyectos ejecutados, aspecto básico en el objetivo de visibilidad para dar conocer la entidad a la comunidad educativa y a sus socios de valor.</w:t>
      </w:r>
    </w:p>
    <w:p w:rsidR="008A6BA1" w:rsidRDefault="008A6BA1" w:rsidP="008A6BA1">
      <w:pPr>
        <w:jc w:val="both"/>
        <w:rPr>
          <w:rFonts w:ascii="Century Gothic" w:hAnsi="Century Gothic"/>
          <w:sz w:val="16"/>
          <w:szCs w:val="16"/>
        </w:rPr>
      </w:pPr>
      <w:r>
        <w:rPr>
          <w:rFonts w:ascii="Century Gothic" w:hAnsi="Century Gothic"/>
          <w:sz w:val="16"/>
          <w:szCs w:val="16"/>
        </w:rPr>
        <w:t>El proceso de mercadeo, información y comunicación de una entidad en crecimiento como el IES CINOC debe convertirse en un área estratégica, por lo cual, resulta indispensable su rediseño para lograr un óptimo funcionamiento y permitir la generación continua de nuevas propuestas alineadas con la imagen institucional por lo que contar con personas con capacidades demostradas de creatividad que además puedan trabajar en equipo es fundamental para lograr este objetivo, en este sentido una de las áreas que requiere más apoyo es la del diseño de las piezas comunicativas para la comunidad académica, por lo tanto se justifica la contratación de una persona que pueda generar dichas piezas con alta calidad y dentro de los tiempos esperados.</w:t>
      </w:r>
    </w:p>
    <w:p w:rsidR="00514288" w:rsidRDefault="00514288">
      <w:pPr>
        <w:rPr>
          <w:rFonts w:ascii="Calibri" w:hAnsi="Calibri" w:cs="Calibri"/>
          <w:b/>
          <w:bCs/>
          <w:i/>
          <w:sz w:val="20"/>
          <w:szCs w:val="20"/>
          <w:u w:val="single"/>
        </w:rPr>
      </w:pPr>
      <w:r>
        <w:rPr>
          <w:rFonts w:ascii="Calibri" w:hAnsi="Calibri" w:cs="Calibri"/>
          <w:b/>
          <w:bCs/>
          <w:i/>
          <w:sz w:val="20"/>
          <w:szCs w:val="20"/>
          <w:u w:val="single"/>
        </w:rPr>
        <w:br w:type="page"/>
      </w:r>
    </w:p>
    <w:p w:rsidR="00514288" w:rsidRDefault="00514288" w:rsidP="00EA34FE">
      <w:pPr>
        <w:jc w:val="both"/>
        <w:rPr>
          <w:rFonts w:ascii="Calibri" w:hAnsi="Calibri" w:cs="Calibri"/>
          <w:b/>
          <w:bCs/>
          <w:i/>
          <w:sz w:val="20"/>
          <w:szCs w:val="20"/>
          <w:u w:val="single"/>
        </w:rPr>
      </w:pPr>
      <w:r w:rsidRPr="00647A7F">
        <w:rPr>
          <w:rFonts w:ascii="Calibri" w:hAnsi="Calibri" w:cs="Calibri"/>
          <w:b/>
          <w:bCs/>
          <w:i/>
          <w:sz w:val="20"/>
          <w:szCs w:val="20"/>
          <w:u w:val="single"/>
        </w:rPr>
        <w:lastRenderedPageBreak/>
        <w:t xml:space="preserve">Anexo </w:t>
      </w:r>
      <w:r>
        <w:rPr>
          <w:rFonts w:ascii="Calibri" w:hAnsi="Calibri" w:cs="Calibri"/>
          <w:b/>
          <w:bCs/>
          <w:i/>
          <w:sz w:val="20"/>
          <w:szCs w:val="20"/>
          <w:u w:val="single"/>
        </w:rPr>
        <w:t>13</w:t>
      </w:r>
    </w:p>
    <w:p w:rsidR="00303685" w:rsidRPr="00353782" w:rsidRDefault="00303685" w:rsidP="00303685">
      <w:pPr>
        <w:jc w:val="both"/>
        <w:rPr>
          <w:rFonts w:ascii="Century Gothic" w:hAnsi="Century Gothic"/>
          <w:sz w:val="16"/>
          <w:szCs w:val="16"/>
        </w:rPr>
      </w:pPr>
      <w:r w:rsidRPr="00353782">
        <w:rPr>
          <w:rFonts w:ascii="Century Gothic" w:hAnsi="Century Gothic"/>
          <w:sz w:val="16"/>
          <w:szCs w:val="16"/>
        </w:rPr>
        <w:t>Debido a la reestructuración de la planta administrativa de la institución se suprimieron 8 cargos a partir del 01 de julio de 2013, luego de lo cual no quedó ningún cargo en la planta que tenga la función de ejecutar el plan de mercadeo y encargarse de la oficina de publicaciones de la institución, es de anotar que el cargo que tenía dichas funciones era de nivel técnico y tenía como requisito la aprobación de 2 años de educación superior en las áreas de Mercadeo, Publicidad o Diseño Visual.</w:t>
      </w:r>
    </w:p>
    <w:p w:rsidR="00514288" w:rsidRDefault="00303685" w:rsidP="00303685">
      <w:pPr>
        <w:jc w:val="both"/>
        <w:rPr>
          <w:rFonts w:ascii="Calibri" w:hAnsi="Calibri" w:cs="Calibri"/>
          <w:b/>
          <w:bCs/>
          <w:i/>
          <w:sz w:val="20"/>
          <w:szCs w:val="20"/>
          <w:u w:val="single"/>
        </w:rPr>
      </w:pPr>
      <w:r w:rsidRPr="00353782">
        <w:rPr>
          <w:rFonts w:ascii="Century Gothic" w:hAnsi="Century Gothic"/>
          <w:sz w:val="16"/>
          <w:szCs w:val="16"/>
        </w:rPr>
        <w:t xml:space="preserve">Dentro de los estudios que se llevaron a cabo para realizar el proceso de reestructuración, se consideró </w:t>
      </w:r>
      <w:r>
        <w:rPr>
          <w:rFonts w:ascii="Century Gothic" w:hAnsi="Century Gothic"/>
          <w:sz w:val="16"/>
          <w:szCs w:val="16"/>
        </w:rPr>
        <w:t xml:space="preserve">la necesidad de que este contrato fuera de carácter profesional, a partir del segundo semestre del 202, todo ellos por el cumulo de actividades y procesos a cumplir en la ejecución del plan de mercadeo información y comunicación, propias de un profesional en el área; de igual manera se determinó </w:t>
      </w:r>
      <w:r w:rsidRPr="00353782">
        <w:rPr>
          <w:rFonts w:ascii="Century Gothic" w:hAnsi="Century Gothic"/>
          <w:sz w:val="16"/>
          <w:szCs w:val="16"/>
        </w:rPr>
        <w:t>que aquellas funciones que no pudieran ser reasignadas en otros cargos de la nueva planta administrativa de i</w:t>
      </w:r>
      <w:r>
        <w:rPr>
          <w:rFonts w:ascii="Century Gothic" w:hAnsi="Century Gothic"/>
          <w:sz w:val="16"/>
          <w:szCs w:val="16"/>
        </w:rPr>
        <w:t xml:space="preserve">nstitución, tendrían que ser </w:t>
      </w:r>
      <w:r w:rsidRPr="00353782">
        <w:rPr>
          <w:rFonts w:ascii="Century Gothic" w:hAnsi="Century Gothic"/>
          <w:sz w:val="16"/>
          <w:szCs w:val="16"/>
        </w:rPr>
        <w:t>contratados, en este sentido se hace necesaria la contratación externa del servicio de formulación y ejecución de plan operativo de mercadeo anual y no afectar de esta manera la función de mercadeo que es esencial para el posicionamiento y sostenimiento de la institución en el medio.</w:t>
      </w:r>
      <w:r w:rsidR="00514288">
        <w:rPr>
          <w:rFonts w:ascii="Calibri" w:hAnsi="Calibri" w:cs="Calibri"/>
          <w:b/>
          <w:bCs/>
          <w:i/>
          <w:sz w:val="20"/>
          <w:szCs w:val="20"/>
          <w:u w:val="single"/>
        </w:rPr>
        <w:br w:type="page"/>
      </w:r>
    </w:p>
    <w:p w:rsidR="00514288" w:rsidRDefault="00514288" w:rsidP="00EA34FE">
      <w:pPr>
        <w:jc w:val="both"/>
        <w:rPr>
          <w:rFonts w:ascii="Calibri" w:hAnsi="Calibri" w:cs="Calibri"/>
          <w:b/>
          <w:bCs/>
          <w:i/>
          <w:sz w:val="20"/>
          <w:szCs w:val="20"/>
          <w:u w:val="single"/>
        </w:rPr>
      </w:pPr>
      <w:r w:rsidRPr="00647A7F">
        <w:rPr>
          <w:rFonts w:ascii="Calibri" w:hAnsi="Calibri" w:cs="Calibri"/>
          <w:b/>
          <w:bCs/>
          <w:i/>
          <w:sz w:val="20"/>
          <w:szCs w:val="20"/>
          <w:u w:val="single"/>
        </w:rPr>
        <w:lastRenderedPageBreak/>
        <w:t xml:space="preserve">Anexo </w:t>
      </w:r>
      <w:r>
        <w:rPr>
          <w:rFonts w:ascii="Calibri" w:hAnsi="Calibri" w:cs="Calibri"/>
          <w:b/>
          <w:bCs/>
          <w:i/>
          <w:sz w:val="20"/>
          <w:szCs w:val="20"/>
          <w:u w:val="single"/>
        </w:rPr>
        <w:t>14</w:t>
      </w:r>
    </w:p>
    <w:p w:rsidR="00594EA3" w:rsidRPr="005D2BEF" w:rsidRDefault="00594EA3" w:rsidP="00594EA3">
      <w:pPr>
        <w:jc w:val="both"/>
        <w:rPr>
          <w:rFonts w:ascii="Calibri" w:hAnsi="Calibri" w:cs="Calibri"/>
          <w:bCs/>
          <w:sz w:val="20"/>
          <w:szCs w:val="20"/>
        </w:rPr>
      </w:pPr>
      <w:r w:rsidRPr="005D2BEF">
        <w:rPr>
          <w:rFonts w:ascii="Calibri" w:hAnsi="Calibri" w:cs="Calibri"/>
          <w:bCs/>
          <w:sz w:val="20"/>
          <w:szCs w:val="20"/>
        </w:rPr>
        <w:t>Bajo el marco del proceso de Integración de los Sistemas de Información: Sistema Nacional de la Educación Superior (SNIES), Sistema para la Prevención de la Deserción de la Educación Superior (SPADIES), Observatorio Laboral para la Deserción (OLE), con el cual se consolida un sistema para unificar el procedimiento de reporte de información y avanzar en la normalización e integración de una sola base de datos de la Educación Superior en Colombia.</w:t>
      </w:r>
    </w:p>
    <w:p w:rsidR="00594EA3" w:rsidRPr="005D2BEF" w:rsidRDefault="00594EA3" w:rsidP="00594EA3">
      <w:pPr>
        <w:jc w:val="both"/>
        <w:rPr>
          <w:rFonts w:ascii="Calibri" w:hAnsi="Calibri" w:cs="Calibri"/>
          <w:bCs/>
          <w:sz w:val="20"/>
          <w:szCs w:val="20"/>
        </w:rPr>
      </w:pPr>
      <w:r w:rsidRPr="005D2BEF">
        <w:rPr>
          <w:rFonts w:ascii="Calibri" w:hAnsi="Calibri" w:cs="Calibri"/>
          <w:bCs/>
          <w:sz w:val="20"/>
          <w:szCs w:val="20"/>
        </w:rPr>
        <w:t>Para lo anterior se requiere que las Instituciones de Educación Superior, emprendan las acciones correspondientes para el ajuste y mejoramiento de la calidad de los datos que se registran en los sistemas de información SNIES y SPADIES, específicamente a los datos generados en las IES desde el periodo 1998-1 hasta la actualidad para las variables poblacionales: matriculados, primer curso, materias matriculado y graduados.</w:t>
      </w:r>
    </w:p>
    <w:p w:rsidR="00514288" w:rsidRDefault="00594EA3" w:rsidP="00FB425B">
      <w:pPr>
        <w:jc w:val="both"/>
        <w:rPr>
          <w:rFonts w:ascii="Calibri" w:hAnsi="Calibri" w:cs="Calibri"/>
          <w:b/>
          <w:bCs/>
          <w:i/>
          <w:sz w:val="20"/>
          <w:szCs w:val="20"/>
          <w:u w:val="single"/>
        </w:rPr>
      </w:pPr>
      <w:r w:rsidRPr="005D2BEF">
        <w:rPr>
          <w:rFonts w:ascii="Calibri" w:hAnsi="Calibri" w:cs="Calibri"/>
          <w:bCs/>
          <w:sz w:val="20"/>
          <w:szCs w:val="20"/>
        </w:rPr>
        <w:t>La Institución de Educación Superior Colegio Integrado Nacional Oriente de Caldas, ha venido desarrollando el proceso de ajuste y mejoramiento de la Información de las variables poblacionales, logrando consolidar la información hasta el periodo 2007-2. por lo tanto, se requiere la contratación de Un Técnico en Informática y Sistemas, para dar continuidad al proceso de ajuste de y mejora de la información para cumplir con la directriz del Ministerio de Educación Nacional(MEN) de tener datos consolidados desde el periodo 1998-1 hasta la actualidad</w:t>
      </w:r>
      <w:r>
        <w:rPr>
          <w:rFonts w:ascii="Calibri" w:hAnsi="Calibri" w:cs="Calibri"/>
          <w:bCs/>
          <w:sz w:val="20"/>
          <w:szCs w:val="20"/>
        </w:rPr>
        <w:t>.</w:t>
      </w:r>
      <w:r w:rsidR="00514288">
        <w:rPr>
          <w:rFonts w:ascii="Calibri" w:hAnsi="Calibri" w:cs="Calibri"/>
          <w:b/>
          <w:bCs/>
          <w:i/>
          <w:sz w:val="20"/>
          <w:szCs w:val="20"/>
          <w:u w:val="single"/>
        </w:rPr>
        <w:br w:type="page"/>
      </w:r>
    </w:p>
    <w:p w:rsidR="00D728FF" w:rsidRDefault="00514288" w:rsidP="00EA34FE">
      <w:pPr>
        <w:jc w:val="both"/>
        <w:rPr>
          <w:rFonts w:ascii="Calibri" w:hAnsi="Calibri" w:cs="Calibri"/>
          <w:b/>
          <w:bCs/>
          <w:i/>
          <w:sz w:val="20"/>
          <w:szCs w:val="20"/>
          <w:u w:val="single"/>
        </w:rPr>
      </w:pPr>
      <w:r w:rsidRPr="00647A7F">
        <w:rPr>
          <w:rFonts w:ascii="Calibri" w:hAnsi="Calibri" w:cs="Calibri"/>
          <w:b/>
          <w:bCs/>
          <w:i/>
          <w:sz w:val="20"/>
          <w:szCs w:val="20"/>
          <w:u w:val="single"/>
        </w:rPr>
        <w:lastRenderedPageBreak/>
        <w:t xml:space="preserve">Anexo </w:t>
      </w:r>
      <w:r>
        <w:rPr>
          <w:rFonts w:ascii="Calibri" w:hAnsi="Calibri" w:cs="Calibri"/>
          <w:b/>
          <w:bCs/>
          <w:i/>
          <w:sz w:val="20"/>
          <w:szCs w:val="20"/>
          <w:u w:val="single"/>
        </w:rPr>
        <w:t>15</w:t>
      </w:r>
    </w:p>
    <w:p w:rsidR="00A374F0" w:rsidRPr="00DD2F53" w:rsidRDefault="00A374F0" w:rsidP="00A374F0">
      <w:pPr>
        <w:jc w:val="both"/>
        <w:rPr>
          <w:rFonts w:ascii="Calibri" w:hAnsi="Calibri" w:cs="Calibri"/>
          <w:bCs/>
          <w:sz w:val="20"/>
          <w:szCs w:val="20"/>
        </w:rPr>
      </w:pPr>
      <w:r w:rsidRPr="00DD2F53">
        <w:rPr>
          <w:rFonts w:ascii="Calibri" w:hAnsi="Calibri" w:cs="Calibri"/>
          <w:bCs/>
          <w:sz w:val="20"/>
          <w:szCs w:val="20"/>
        </w:rPr>
        <w:t>En vigencia 201</w:t>
      </w:r>
      <w:r w:rsidR="00EE193B">
        <w:rPr>
          <w:rFonts w:ascii="Calibri" w:hAnsi="Calibri" w:cs="Calibri"/>
          <w:bCs/>
          <w:sz w:val="20"/>
          <w:szCs w:val="20"/>
        </w:rPr>
        <w:t>9</w:t>
      </w:r>
      <w:r w:rsidRPr="00DD2F53">
        <w:rPr>
          <w:rFonts w:ascii="Calibri" w:hAnsi="Calibri" w:cs="Calibri"/>
          <w:bCs/>
          <w:sz w:val="20"/>
          <w:szCs w:val="20"/>
        </w:rPr>
        <w:t xml:space="preserve"> la entidad contrato con la firma Gestión Documental S.A.S la actualización de PGD y PINAR instrumentos archivísticos que permiten que la entidad cumpla con lo normado dentro de la gestión documental que deben desarrollar las entidades públicas. Para desarrollar y ejecutar las actividades enmarcadas en PINAR y PGD para el 20</w:t>
      </w:r>
      <w:r w:rsidR="00EE193B">
        <w:rPr>
          <w:rFonts w:ascii="Calibri" w:hAnsi="Calibri" w:cs="Calibri"/>
          <w:bCs/>
          <w:sz w:val="20"/>
          <w:szCs w:val="20"/>
        </w:rPr>
        <w:t>20</w:t>
      </w:r>
      <w:r w:rsidRPr="00DD2F53">
        <w:rPr>
          <w:rFonts w:ascii="Calibri" w:hAnsi="Calibri" w:cs="Calibri"/>
          <w:bCs/>
          <w:sz w:val="20"/>
          <w:szCs w:val="20"/>
        </w:rPr>
        <w:t xml:space="preserve"> es necesario nuevamente contratar con persona natural o jurídica quien acompañe, lidere y ejecute las actividades contempladas en dichos planes ya que en la entidad no se cuenta con funcionario o personal de planta con la formación específica en archivística o quien coordine o lidere la consecución de estos planes. </w:t>
      </w:r>
    </w:p>
    <w:p w:rsidR="00A374F0" w:rsidRPr="00DD2F53" w:rsidRDefault="00A374F0" w:rsidP="00A374F0">
      <w:pPr>
        <w:jc w:val="both"/>
        <w:rPr>
          <w:rFonts w:ascii="Calibri" w:hAnsi="Calibri" w:cs="Calibri"/>
          <w:bCs/>
          <w:sz w:val="20"/>
          <w:szCs w:val="20"/>
        </w:rPr>
      </w:pPr>
    </w:p>
    <w:p w:rsidR="00D728FF" w:rsidRDefault="00A374F0" w:rsidP="00A374F0">
      <w:pPr>
        <w:jc w:val="both"/>
        <w:rPr>
          <w:rFonts w:ascii="Calibri" w:hAnsi="Calibri" w:cs="Calibri"/>
          <w:b/>
          <w:bCs/>
          <w:i/>
          <w:sz w:val="20"/>
          <w:szCs w:val="20"/>
          <w:u w:val="single"/>
        </w:rPr>
      </w:pPr>
      <w:r w:rsidRPr="00DD2F53">
        <w:rPr>
          <w:rFonts w:ascii="Calibri" w:hAnsi="Calibri" w:cs="Calibri"/>
          <w:bCs/>
          <w:sz w:val="20"/>
          <w:szCs w:val="20"/>
        </w:rPr>
        <w:t>El programa de Gestión Documental (PGD) y el Plan Institucional de archivos (PINAR), son dos instrumentos que trasversalmente se encuentran enmarcados en los planes Operativos anuales y el cual presenta un indicador de cumplimiento y/o resultado que debe de ser medido en primer y segundo semestre, indicador que a la fecha se encuentra sin valor cuantitativo o cualitativo debido a que no se cuenta con el profesional quien ejecute las tareas establecidas en los planes mencionados anteriormente. Finalmente, la entidad y la alta dirección han considerado que la gestión documental es un proceso de suma importancia dentro del sistema de gestión de calidad y que es parte fundamental de los procesos administrativos de la entidad por su soporte documental</w:t>
      </w:r>
      <w:r>
        <w:rPr>
          <w:rFonts w:ascii="Calibri" w:hAnsi="Calibri" w:cs="Calibri"/>
          <w:bCs/>
          <w:sz w:val="20"/>
          <w:szCs w:val="20"/>
        </w:rPr>
        <w:t>.</w:t>
      </w:r>
    </w:p>
    <w:p w:rsidR="00D728FF" w:rsidRDefault="00D728FF" w:rsidP="00EA34FE">
      <w:pPr>
        <w:jc w:val="both"/>
        <w:rPr>
          <w:rFonts w:ascii="Calibri" w:hAnsi="Calibri" w:cs="Calibri"/>
          <w:b/>
          <w:bCs/>
          <w:i/>
          <w:sz w:val="20"/>
          <w:szCs w:val="20"/>
          <w:u w:val="single"/>
        </w:rPr>
      </w:pPr>
    </w:p>
    <w:p w:rsidR="00525A02" w:rsidRDefault="00525A02">
      <w:pPr>
        <w:rPr>
          <w:b/>
          <w:u w:val="single"/>
          <w:lang w:val="es-ES"/>
        </w:rPr>
      </w:pPr>
      <w:r>
        <w:rPr>
          <w:b/>
          <w:u w:val="single"/>
          <w:lang w:val="es-ES"/>
        </w:rPr>
        <w:br w:type="page"/>
      </w:r>
    </w:p>
    <w:p w:rsidR="006C3D91" w:rsidRDefault="00525A02" w:rsidP="00EA34FE">
      <w:pPr>
        <w:pStyle w:val="Prrafodelista"/>
        <w:spacing w:line="240" w:lineRule="auto"/>
        <w:ind w:left="47"/>
        <w:jc w:val="both"/>
        <w:rPr>
          <w:b/>
          <w:u w:val="single"/>
          <w:lang w:val="es-ES"/>
        </w:rPr>
      </w:pPr>
      <w:r>
        <w:rPr>
          <w:b/>
          <w:u w:val="single"/>
          <w:lang w:val="es-ES"/>
        </w:rPr>
        <w:lastRenderedPageBreak/>
        <w:t>Cuadro No. 1</w:t>
      </w:r>
    </w:p>
    <w:p w:rsidR="00525A02" w:rsidRDefault="00E41A16">
      <w:pPr>
        <w:rPr>
          <w:b/>
          <w:u w:val="single"/>
          <w:lang w:val="es-ES"/>
        </w:rPr>
      </w:pPr>
      <w:bookmarkStart w:id="0" w:name="_GoBack"/>
      <w:r w:rsidRPr="00E41A16">
        <w:rPr>
          <w:noProof/>
          <w:lang w:eastAsia="es-CO"/>
        </w:rPr>
        <w:drawing>
          <wp:inline distT="0" distB="0" distL="0" distR="0">
            <wp:extent cx="5612130" cy="2558352"/>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558352"/>
                    </a:xfrm>
                    <a:prstGeom prst="rect">
                      <a:avLst/>
                    </a:prstGeom>
                    <a:noFill/>
                    <a:ln>
                      <a:noFill/>
                    </a:ln>
                  </pic:spPr>
                </pic:pic>
              </a:graphicData>
            </a:graphic>
          </wp:inline>
        </w:drawing>
      </w:r>
      <w:bookmarkEnd w:id="0"/>
      <w:r w:rsidR="00525A02">
        <w:rPr>
          <w:b/>
          <w:u w:val="single"/>
          <w:lang w:val="es-ES"/>
        </w:rPr>
        <w:br w:type="page"/>
      </w:r>
    </w:p>
    <w:p w:rsidR="00525A02" w:rsidRDefault="00525A02" w:rsidP="00525A02">
      <w:pPr>
        <w:pStyle w:val="Prrafodelista"/>
        <w:spacing w:line="240" w:lineRule="auto"/>
        <w:ind w:left="47"/>
        <w:jc w:val="both"/>
        <w:rPr>
          <w:b/>
          <w:u w:val="single"/>
          <w:lang w:val="es-ES"/>
        </w:rPr>
      </w:pPr>
      <w:r>
        <w:rPr>
          <w:b/>
          <w:u w:val="single"/>
          <w:lang w:val="es-ES"/>
        </w:rPr>
        <w:lastRenderedPageBreak/>
        <w:t>Cuadro No. 2</w:t>
      </w:r>
    </w:p>
    <w:p w:rsidR="00525A02" w:rsidRDefault="00525A02" w:rsidP="00EA34FE">
      <w:pPr>
        <w:pStyle w:val="Prrafodelista"/>
        <w:spacing w:line="240" w:lineRule="auto"/>
        <w:ind w:left="47"/>
        <w:jc w:val="both"/>
        <w:rPr>
          <w:b/>
          <w:u w:val="single"/>
          <w:lang w:val="es-ES"/>
        </w:rPr>
      </w:pPr>
    </w:p>
    <w:p w:rsidR="00E122F5" w:rsidRPr="00FA6147" w:rsidRDefault="004A7145" w:rsidP="00EA34FE">
      <w:pPr>
        <w:pStyle w:val="Prrafodelista"/>
        <w:spacing w:line="240" w:lineRule="auto"/>
        <w:ind w:left="47"/>
        <w:jc w:val="both"/>
        <w:rPr>
          <w:b/>
          <w:u w:val="single"/>
        </w:rPr>
      </w:pPr>
      <w:r w:rsidRPr="004A7145">
        <w:rPr>
          <w:noProof/>
          <w:lang w:eastAsia="es-CO"/>
        </w:rPr>
        <w:drawing>
          <wp:inline distT="0" distB="0" distL="0" distR="0">
            <wp:extent cx="5612130" cy="1573644"/>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573644"/>
                    </a:xfrm>
                    <a:prstGeom prst="rect">
                      <a:avLst/>
                    </a:prstGeom>
                    <a:noFill/>
                    <a:ln>
                      <a:noFill/>
                    </a:ln>
                  </pic:spPr>
                </pic:pic>
              </a:graphicData>
            </a:graphic>
          </wp:inline>
        </w:drawing>
      </w:r>
    </w:p>
    <w:sectPr w:rsidR="00E122F5" w:rsidRPr="00FA61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BF6"/>
    <w:multiLevelType w:val="hybridMultilevel"/>
    <w:tmpl w:val="CD3CF61A"/>
    <w:lvl w:ilvl="0" w:tplc="240A000F">
      <w:start w:val="1"/>
      <w:numFmt w:val="decimal"/>
      <w:lvlText w:val="%1."/>
      <w:lvlJc w:val="left"/>
      <w:pPr>
        <w:ind w:left="360" w:hanging="360"/>
      </w:pPr>
      <w:rPr>
        <w:rFonts w:hint="default"/>
      </w:r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3875622"/>
    <w:multiLevelType w:val="hybridMultilevel"/>
    <w:tmpl w:val="D8C80BCE"/>
    <w:lvl w:ilvl="0" w:tplc="083089B8">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2030AC"/>
    <w:multiLevelType w:val="hybridMultilevel"/>
    <w:tmpl w:val="FCFCD86A"/>
    <w:lvl w:ilvl="0" w:tplc="39643E9A">
      <w:start w:val="3"/>
      <w:numFmt w:val="bullet"/>
      <w:lvlText w:val="-"/>
      <w:lvlJc w:val="left"/>
      <w:pPr>
        <w:ind w:left="1440" w:hanging="360"/>
      </w:pPr>
      <w:rPr>
        <w:rFonts w:ascii="Calibri" w:eastAsiaTheme="minorHAnsi" w:hAnsi="Calibri" w:cs="Calibri"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 w15:restartNumberingAfterBreak="0">
    <w:nsid w:val="201159BB"/>
    <w:multiLevelType w:val="hybridMultilevel"/>
    <w:tmpl w:val="403EE1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1A3167D"/>
    <w:multiLevelType w:val="hybridMultilevel"/>
    <w:tmpl w:val="EFAA07D0"/>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2FC31938"/>
    <w:multiLevelType w:val="hybridMultilevel"/>
    <w:tmpl w:val="50C057D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DB16E53"/>
    <w:multiLevelType w:val="hybridMultilevel"/>
    <w:tmpl w:val="AECA2032"/>
    <w:lvl w:ilvl="0" w:tplc="D21E71D0">
      <w:start w:val="2"/>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F903473"/>
    <w:multiLevelType w:val="hybridMultilevel"/>
    <w:tmpl w:val="A104845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481C2513"/>
    <w:multiLevelType w:val="hybridMultilevel"/>
    <w:tmpl w:val="9C12F5D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D42267E"/>
    <w:multiLevelType w:val="multilevel"/>
    <w:tmpl w:val="D7B8660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A0E0BD0"/>
    <w:multiLevelType w:val="hybridMultilevel"/>
    <w:tmpl w:val="D108DE2A"/>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1" w15:restartNumberingAfterBreak="0">
    <w:nsid w:val="5F003E2B"/>
    <w:multiLevelType w:val="hybridMultilevel"/>
    <w:tmpl w:val="6690393E"/>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2" w15:restartNumberingAfterBreak="0">
    <w:nsid w:val="74B05C7B"/>
    <w:multiLevelType w:val="hybridMultilevel"/>
    <w:tmpl w:val="4EF8F9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D36566F"/>
    <w:multiLevelType w:val="hybridMultilevel"/>
    <w:tmpl w:val="211A231E"/>
    <w:lvl w:ilvl="0" w:tplc="82C65B9E">
      <w:start w:val="1"/>
      <w:numFmt w:val="lowerLetter"/>
      <w:lvlText w:val="%1."/>
      <w:lvlJc w:val="left"/>
      <w:pPr>
        <w:ind w:left="1080" w:hanging="360"/>
      </w:pPr>
      <w:rPr>
        <w:rFonts w:hint="default"/>
        <w:color w:val="auto"/>
      </w:rPr>
    </w:lvl>
    <w:lvl w:ilvl="1" w:tplc="180A0019">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num w:numId="1">
    <w:abstractNumId w:val="12"/>
  </w:num>
  <w:num w:numId="2">
    <w:abstractNumId w:val="0"/>
  </w:num>
  <w:num w:numId="3">
    <w:abstractNumId w:val="7"/>
  </w:num>
  <w:num w:numId="4">
    <w:abstractNumId w:val="3"/>
  </w:num>
  <w:num w:numId="5">
    <w:abstractNumId w:val="4"/>
  </w:num>
  <w:num w:numId="6">
    <w:abstractNumId w:val="5"/>
  </w:num>
  <w:num w:numId="7">
    <w:abstractNumId w:val="8"/>
  </w:num>
  <w:num w:numId="8">
    <w:abstractNumId w:val="10"/>
  </w:num>
  <w:num w:numId="9">
    <w:abstractNumId w:val="13"/>
  </w:num>
  <w:num w:numId="10">
    <w:abstractNumId w:val="6"/>
  </w:num>
  <w:num w:numId="11">
    <w:abstractNumId w:val="1"/>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F7"/>
    <w:rsid w:val="00090694"/>
    <w:rsid w:val="00090727"/>
    <w:rsid w:val="00091427"/>
    <w:rsid w:val="000A7782"/>
    <w:rsid w:val="000C16F4"/>
    <w:rsid w:val="000F0EC6"/>
    <w:rsid w:val="00117964"/>
    <w:rsid w:val="00117D62"/>
    <w:rsid w:val="0013616A"/>
    <w:rsid w:val="001558A0"/>
    <w:rsid w:val="00166C97"/>
    <w:rsid w:val="001A7B95"/>
    <w:rsid w:val="001B6BC9"/>
    <w:rsid w:val="001B7382"/>
    <w:rsid w:val="0021063A"/>
    <w:rsid w:val="00231662"/>
    <w:rsid w:val="002367A4"/>
    <w:rsid w:val="00266F4E"/>
    <w:rsid w:val="00275331"/>
    <w:rsid w:val="00290E36"/>
    <w:rsid w:val="002C6A3E"/>
    <w:rsid w:val="002D1397"/>
    <w:rsid w:val="002D6B86"/>
    <w:rsid w:val="00303685"/>
    <w:rsid w:val="00327A94"/>
    <w:rsid w:val="00331805"/>
    <w:rsid w:val="00331AFC"/>
    <w:rsid w:val="00335B2E"/>
    <w:rsid w:val="00343C60"/>
    <w:rsid w:val="00343CB8"/>
    <w:rsid w:val="00344D11"/>
    <w:rsid w:val="00364006"/>
    <w:rsid w:val="003722EE"/>
    <w:rsid w:val="00387147"/>
    <w:rsid w:val="003A79C4"/>
    <w:rsid w:val="003B5985"/>
    <w:rsid w:val="00421A66"/>
    <w:rsid w:val="00423300"/>
    <w:rsid w:val="00427AD7"/>
    <w:rsid w:val="00427BFC"/>
    <w:rsid w:val="00486A6E"/>
    <w:rsid w:val="004A68D1"/>
    <w:rsid w:val="004A7145"/>
    <w:rsid w:val="004E4809"/>
    <w:rsid w:val="00502FC0"/>
    <w:rsid w:val="00505266"/>
    <w:rsid w:val="00514288"/>
    <w:rsid w:val="00525A02"/>
    <w:rsid w:val="00532AB5"/>
    <w:rsid w:val="00545976"/>
    <w:rsid w:val="005504BC"/>
    <w:rsid w:val="00554000"/>
    <w:rsid w:val="00594EA3"/>
    <w:rsid w:val="005F2790"/>
    <w:rsid w:val="00632E8A"/>
    <w:rsid w:val="00640674"/>
    <w:rsid w:val="00647A7F"/>
    <w:rsid w:val="0067098E"/>
    <w:rsid w:val="00674FF5"/>
    <w:rsid w:val="00684ABA"/>
    <w:rsid w:val="00685928"/>
    <w:rsid w:val="006A37F8"/>
    <w:rsid w:val="006C3D91"/>
    <w:rsid w:val="006C5ECC"/>
    <w:rsid w:val="006E1B91"/>
    <w:rsid w:val="006E23C0"/>
    <w:rsid w:val="006F096C"/>
    <w:rsid w:val="006F14B8"/>
    <w:rsid w:val="00700BF6"/>
    <w:rsid w:val="00725BF7"/>
    <w:rsid w:val="00785A48"/>
    <w:rsid w:val="007A5B36"/>
    <w:rsid w:val="007A6A56"/>
    <w:rsid w:val="007C49AB"/>
    <w:rsid w:val="007D27E8"/>
    <w:rsid w:val="007E7236"/>
    <w:rsid w:val="007F7046"/>
    <w:rsid w:val="008075E4"/>
    <w:rsid w:val="00811EDD"/>
    <w:rsid w:val="008529B8"/>
    <w:rsid w:val="00862D79"/>
    <w:rsid w:val="00877C19"/>
    <w:rsid w:val="008A224F"/>
    <w:rsid w:val="008A6BA1"/>
    <w:rsid w:val="008E2073"/>
    <w:rsid w:val="00907A3F"/>
    <w:rsid w:val="00910CBC"/>
    <w:rsid w:val="009172F0"/>
    <w:rsid w:val="0093172D"/>
    <w:rsid w:val="00934410"/>
    <w:rsid w:val="00967A9F"/>
    <w:rsid w:val="00990752"/>
    <w:rsid w:val="009C25CA"/>
    <w:rsid w:val="009C26DE"/>
    <w:rsid w:val="009C7B60"/>
    <w:rsid w:val="009F1BA1"/>
    <w:rsid w:val="00A11737"/>
    <w:rsid w:val="00A374F0"/>
    <w:rsid w:val="00A413A3"/>
    <w:rsid w:val="00A50B37"/>
    <w:rsid w:val="00A604FC"/>
    <w:rsid w:val="00A62BC3"/>
    <w:rsid w:val="00A66B16"/>
    <w:rsid w:val="00A6715A"/>
    <w:rsid w:val="00A77B69"/>
    <w:rsid w:val="00A82041"/>
    <w:rsid w:val="00AB03FF"/>
    <w:rsid w:val="00AC7B4F"/>
    <w:rsid w:val="00AD15A1"/>
    <w:rsid w:val="00B0219F"/>
    <w:rsid w:val="00B17E65"/>
    <w:rsid w:val="00B37367"/>
    <w:rsid w:val="00BA2A7B"/>
    <w:rsid w:val="00BD2403"/>
    <w:rsid w:val="00BF2AEE"/>
    <w:rsid w:val="00C157DF"/>
    <w:rsid w:val="00C1769A"/>
    <w:rsid w:val="00C24EED"/>
    <w:rsid w:val="00C409F2"/>
    <w:rsid w:val="00C61BBB"/>
    <w:rsid w:val="00C8056B"/>
    <w:rsid w:val="00C80B8F"/>
    <w:rsid w:val="00C840CE"/>
    <w:rsid w:val="00C84CC8"/>
    <w:rsid w:val="00CE391F"/>
    <w:rsid w:val="00CF11C3"/>
    <w:rsid w:val="00D07158"/>
    <w:rsid w:val="00D52BA3"/>
    <w:rsid w:val="00D54E47"/>
    <w:rsid w:val="00D728FF"/>
    <w:rsid w:val="00D86D3F"/>
    <w:rsid w:val="00D87BC4"/>
    <w:rsid w:val="00D9735F"/>
    <w:rsid w:val="00DA42AA"/>
    <w:rsid w:val="00DB715E"/>
    <w:rsid w:val="00DE2300"/>
    <w:rsid w:val="00DF4C10"/>
    <w:rsid w:val="00E122F5"/>
    <w:rsid w:val="00E13B48"/>
    <w:rsid w:val="00E41A16"/>
    <w:rsid w:val="00E44561"/>
    <w:rsid w:val="00E52C3D"/>
    <w:rsid w:val="00E9199B"/>
    <w:rsid w:val="00EA34FE"/>
    <w:rsid w:val="00EC0B06"/>
    <w:rsid w:val="00EC7FAA"/>
    <w:rsid w:val="00ED10E3"/>
    <w:rsid w:val="00EE193B"/>
    <w:rsid w:val="00F06FFF"/>
    <w:rsid w:val="00F12AD6"/>
    <w:rsid w:val="00F24464"/>
    <w:rsid w:val="00F36391"/>
    <w:rsid w:val="00F40FBB"/>
    <w:rsid w:val="00F578B7"/>
    <w:rsid w:val="00F742E2"/>
    <w:rsid w:val="00F749FD"/>
    <w:rsid w:val="00F96366"/>
    <w:rsid w:val="00FA1A9F"/>
    <w:rsid w:val="00FA4D75"/>
    <w:rsid w:val="00FA6147"/>
    <w:rsid w:val="00FB2AED"/>
    <w:rsid w:val="00FB425B"/>
    <w:rsid w:val="00FB57E6"/>
    <w:rsid w:val="00FC35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DB6A5-F39C-419B-9C44-A2C1CBCA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5BF7"/>
    <w:pPr>
      <w:ind w:left="720"/>
      <w:contextualSpacing/>
    </w:pPr>
  </w:style>
  <w:style w:type="table" w:styleId="Tablaconcuadrcula">
    <w:name w:val="Table Grid"/>
    <w:basedOn w:val="Tablanormal"/>
    <w:uiPriority w:val="59"/>
    <w:rsid w:val="00327A9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D6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0C1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148">
      <w:bodyDiv w:val="1"/>
      <w:marLeft w:val="0"/>
      <w:marRight w:val="0"/>
      <w:marTop w:val="0"/>
      <w:marBottom w:val="0"/>
      <w:divBdr>
        <w:top w:val="none" w:sz="0" w:space="0" w:color="auto"/>
        <w:left w:val="none" w:sz="0" w:space="0" w:color="auto"/>
        <w:bottom w:val="none" w:sz="0" w:space="0" w:color="auto"/>
        <w:right w:val="none" w:sz="0" w:space="0" w:color="auto"/>
      </w:divBdr>
    </w:div>
    <w:div w:id="144863803">
      <w:bodyDiv w:val="1"/>
      <w:marLeft w:val="0"/>
      <w:marRight w:val="0"/>
      <w:marTop w:val="0"/>
      <w:marBottom w:val="0"/>
      <w:divBdr>
        <w:top w:val="none" w:sz="0" w:space="0" w:color="auto"/>
        <w:left w:val="none" w:sz="0" w:space="0" w:color="auto"/>
        <w:bottom w:val="none" w:sz="0" w:space="0" w:color="auto"/>
        <w:right w:val="none" w:sz="0" w:space="0" w:color="auto"/>
      </w:divBdr>
    </w:div>
    <w:div w:id="157044223">
      <w:bodyDiv w:val="1"/>
      <w:marLeft w:val="0"/>
      <w:marRight w:val="0"/>
      <w:marTop w:val="0"/>
      <w:marBottom w:val="0"/>
      <w:divBdr>
        <w:top w:val="none" w:sz="0" w:space="0" w:color="auto"/>
        <w:left w:val="none" w:sz="0" w:space="0" w:color="auto"/>
        <w:bottom w:val="none" w:sz="0" w:space="0" w:color="auto"/>
        <w:right w:val="none" w:sz="0" w:space="0" w:color="auto"/>
      </w:divBdr>
    </w:div>
    <w:div w:id="259611137">
      <w:bodyDiv w:val="1"/>
      <w:marLeft w:val="0"/>
      <w:marRight w:val="0"/>
      <w:marTop w:val="0"/>
      <w:marBottom w:val="0"/>
      <w:divBdr>
        <w:top w:val="none" w:sz="0" w:space="0" w:color="auto"/>
        <w:left w:val="none" w:sz="0" w:space="0" w:color="auto"/>
        <w:bottom w:val="none" w:sz="0" w:space="0" w:color="auto"/>
        <w:right w:val="none" w:sz="0" w:space="0" w:color="auto"/>
      </w:divBdr>
    </w:div>
    <w:div w:id="415172492">
      <w:bodyDiv w:val="1"/>
      <w:marLeft w:val="0"/>
      <w:marRight w:val="0"/>
      <w:marTop w:val="0"/>
      <w:marBottom w:val="0"/>
      <w:divBdr>
        <w:top w:val="none" w:sz="0" w:space="0" w:color="auto"/>
        <w:left w:val="none" w:sz="0" w:space="0" w:color="auto"/>
        <w:bottom w:val="none" w:sz="0" w:space="0" w:color="auto"/>
        <w:right w:val="none" w:sz="0" w:space="0" w:color="auto"/>
      </w:divBdr>
    </w:div>
    <w:div w:id="1420369765">
      <w:bodyDiv w:val="1"/>
      <w:marLeft w:val="0"/>
      <w:marRight w:val="0"/>
      <w:marTop w:val="0"/>
      <w:marBottom w:val="0"/>
      <w:divBdr>
        <w:top w:val="none" w:sz="0" w:space="0" w:color="auto"/>
        <w:left w:val="none" w:sz="0" w:space="0" w:color="auto"/>
        <w:bottom w:val="none" w:sz="0" w:space="0" w:color="auto"/>
        <w:right w:val="none" w:sz="0" w:space="0" w:color="auto"/>
      </w:divBdr>
    </w:div>
    <w:div w:id="1538547101">
      <w:bodyDiv w:val="1"/>
      <w:marLeft w:val="0"/>
      <w:marRight w:val="0"/>
      <w:marTop w:val="0"/>
      <w:marBottom w:val="0"/>
      <w:divBdr>
        <w:top w:val="none" w:sz="0" w:space="0" w:color="auto"/>
        <w:left w:val="none" w:sz="0" w:space="0" w:color="auto"/>
        <w:bottom w:val="none" w:sz="0" w:space="0" w:color="auto"/>
        <w:right w:val="none" w:sz="0" w:space="0" w:color="auto"/>
      </w:divBdr>
    </w:div>
    <w:div w:id="17643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9AEC-3311-4BEF-9A18-05DB4DAD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28</Pages>
  <Words>8835</Words>
  <Characters>48595</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Financiera</dc:creator>
  <cp:keywords/>
  <dc:description/>
  <cp:lastModifiedBy>Financiera</cp:lastModifiedBy>
  <cp:revision>156</cp:revision>
  <cp:lastPrinted>2020-02-14T15:53:00Z</cp:lastPrinted>
  <dcterms:created xsi:type="dcterms:W3CDTF">2020-02-12T13:10:00Z</dcterms:created>
  <dcterms:modified xsi:type="dcterms:W3CDTF">2020-02-14T22:20:00Z</dcterms:modified>
</cp:coreProperties>
</file>