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C5" w:rsidRDefault="00155AC5" w:rsidP="000F277B">
      <w:pPr>
        <w:pStyle w:val="Ttulo"/>
        <w:rPr>
          <w:rFonts w:asciiTheme="minorHAnsi" w:hAnsiTheme="minorHAnsi" w:cstheme="minorHAnsi"/>
          <w:sz w:val="22"/>
        </w:rPr>
      </w:pPr>
    </w:p>
    <w:p w:rsidR="001150BC" w:rsidRDefault="001150BC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FA2F57" w:rsidRDefault="001150BC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JUSTIFICACION ADICION </w:t>
      </w:r>
      <w:r w:rsidR="00614C9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PRESUPUESTAL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 INGRESOS </w:t>
      </w:r>
      <w:r w:rsidR="0078079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Y GASTOS </w:t>
      </w:r>
      <w:r w:rsidR="00614C9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PARA LA </w:t>
      </w:r>
      <w:r w:rsidR="00780793">
        <w:rPr>
          <w:rFonts w:asciiTheme="minorHAnsi" w:eastAsia="Calibri" w:hAnsiTheme="minorHAnsi" w:cstheme="minorHAnsi"/>
          <w:sz w:val="20"/>
          <w:szCs w:val="20"/>
          <w:lang w:val="es-MX"/>
        </w:rPr>
        <w:t>VIGENCIA 20</w:t>
      </w:r>
      <w:r w:rsidR="00AB1045">
        <w:rPr>
          <w:rFonts w:asciiTheme="minorHAnsi" w:eastAsia="Calibri" w:hAnsiTheme="minorHAnsi" w:cstheme="minorHAnsi"/>
          <w:sz w:val="20"/>
          <w:szCs w:val="20"/>
          <w:lang w:val="es-MX"/>
        </w:rPr>
        <w:t>20</w:t>
      </w:r>
      <w:r w:rsidR="00614C9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COLEGIO INTEGRADO NACIONAL ORIENTE DE CALDAS.</w:t>
      </w:r>
    </w:p>
    <w:p w:rsidR="00614C93" w:rsidRDefault="00614C93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4C93" w:rsidRDefault="00614C93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4C93" w:rsidRDefault="00614C93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4C93" w:rsidRDefault="00614C93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Apreciados Consejeros, </w:t>
      </w:r>
    </w:p>
    <w:p w:rsidR="00614C93" w:rsidRDefault="00614C93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614C93" w:rsidRDefault="00614C93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Respetuosamente me dirijo a ustedes para justificar normativamente una 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>adición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recursos (ingresos corrientes) provenientes de devolución de dinero que hace el Ministerio de Educación Nacional a todas las Instituciones de Educación Superior Publicas, por descuento del 10% en derechos de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matrícula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por presentación de certificado electoral, en las vigencias 2018 y 2019, igualmente a través del presente documentos solicito su autorización para ser presentada esta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adicción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 la secretaria de hacienda del departamento de Caldas,  para que inicie los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trámites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que correspondan. A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continuación,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relaciono los considerandos normativos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que justifican el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presupuesto de la IES CINOC, para la vigencia 2020, sus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adicciones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esta </w:t>
      </w:r>
      <w:r w:rsidR="00244B12">
        <w:rPr>
          <w:rFonts w:asciiTheme="minorHAnsi" w:eastAsia="Calibri" w:hAnsiTheme="minorHAnsi" w:cstheme="minorHAnsi"/>
          <w:sz w:val="20"/>
          <w:szCs w:val="20"/>
          <w:lang w:val="es-MX"/>
        </w:rPr>
        <w:t>adición</w:t>
      </w:r>
      <w:r w:rsidR="003041BF">
        <w:rPr>
          <w:rFonts w:asciiTheme="minorHAnsi" w:eastAsia="Calibri" w:hAnsiTheme="minorHAnsi" w:cstheme="minorHAnsi"/>
          <w:sz w:val="20"/>
          <w:szCs w:val="20"/>
          <w:lang w:val="es-MX"/>
        </w:rPr>
        <w:t>:</w:t>
      </w:r>
    </w:p>
    <w:p w:rsidR="003041BF" w:rsidRDefault="003041BF" w:rsidP="00614C93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1150BC" w:rsidRPr="00D45DF0" w:rsidRDefault="001150BC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AB1045" w:rsidRPr="006E5F0A" w:rsidRDefault="00AB1045" w:rsidP="00AB1045">
      <w:pPr>
        <w:pStyle w:val="Prrafodelista"/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6E5F0A">
        <w:rPr>
          <w:rFonts w:asciiTheme="minorHAnsi" w:eastAsia="Calibri" w:hAnsiTheme="minorHAnsi" w:cstheme="minorHAnsi"/>
          <w:sz w:val="20"/>
          <w:szCs w:val="20"/>
          <w:lang w:val="es-MX"/>
        </w:rPr>
        <w:t>Que mediante Ordenanza No. 860 de diciembre 4 de 2019, se fija el presupuesto general de rentas y gastos del departamento de Caldas para la vigencia fiscal 2020, dentro de la cual se aprueba el presupuesto de ingresos y gastos del Colegio Integrado Nacional Oriente de Caldas, de la siguiente forma:</w:t>
      </w:r>
    </w:p>
    <w:p w:rsidR="00AB1045" w:rsidRPr="006E5F0A" w:rsidRDefault="00AB1045" w:rsidP="00AB1045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bookmarkStart w:id="0" w:name="_GoBack"/>
      <w:bookmarkEnd w:id="0"/>
    </w:p>
    <w:p w:rsidR="00AB1045" w:rsidRPr="006E5F0A" w:rsidRDefault="00AB1045" w:rsidP="00904FFB">
      <w:pPr>
        <w:jc w:val="center"/>
        <w:rPr>
          <w:color w:val="000000" w:themeColor="text1"/>
          <w:sz w:val="20"/>
          <w:szCs w:val="20"/>
        </w:rPr>
      </w:pPr>
      <w:r w:rsidRPr="006E5F0A">
        <w:rPr>
          <w:color w:val="000000" w:themeColor="text1"/>
          <w:sz w:val="20"/>
          <w:szCs w:val="20"/>
        </w:rPr>
        <w:t>Ingresos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</w:tblGrid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COLEGIO INTEGRADO NACIONAL ORIENTE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INGRESOS CORRIENTES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3.390.779.903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RECUROS DE CAPITAL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1.831.826.499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AB1045" w:rsidRPr="001A23B7" w:rsidTr="00904FFB">
        <w:trPr>
          <w:trHeight w:val="150"/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AB1045" w:rsidRPr="006E5F0A" w:rsidRDefault="00AB1045" w:rsidP="00AB1045">
      <w:pPr>
        <w:rPr>
          <w:color w:val="000000" w:themeColor="text1"/>
          <w:sz w:val="20"/>
          <w:szCs w:val="20"/>
        </w:rPr>
      </w:pPr>
    </w:p>
    <w:p w:rsidR="00AB1045" w:rsidRPr="006E5F0A" w:rsidRDefault="00AB1045" w:rsidP="00904FFB">
      <w:pPr>
        <w:jc w:val="center"/>
        <w:rPr>
          <w:color w:val="000000" w:themeColor="text1"/>
          <w:sz w:val="20"/>
          <w:szCs w:val="20"/>
        </w:rPr>
      </w:pPr>
      <w:r w:rsidRPr="006E5F0A">
        <w:rPr>
          <w:color w:val="000000" w:themeColor="text1"/>
          <w:sz w:val="20"/>
          <w:szCs w:val="20"/>
        </w:rPr>
        <w:t>Gastos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</w:tblGrid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COLEGIO INTEGRADO NACIONAL ORIENTE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FUNCIONAMIENTO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3.432.856.784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INVERSION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1.789.749.618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AB1045" w:rsidRPr="006E5F0A" w:rsidRDefault="00AB1045" w:rsidP="00AB1045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D22585" w:rsidRPr="00AB1045" w:rsidRDefault="00AB1045" w:rsidP="00A21981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B1045">
        <w:rPr>
          <w:rFonts w:asciiTheme="minorHAnsi" w:hAnsiTheme="minorHAnsi" w:cstheme="minorHAnsi"/>
          <w:sz w:val="20"/>
          <w:szCs w:val="20"/>
        </w:rPr>
        <w:t>Que mediante Acuerdo 017 del 17 de diciembre de 2019, el Consejo Directivo realiza la liquidación del presupuesto de ingresos y gastos de funcionamiento e inversión para la vigencia 2020.</w:t>
      </w:r>
    </w:p>
    <w:p w:rsidR="005C38AD" w:rsidRDefault="00A36EBE" w:rsidP="007967F9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val="es-MX"/>
        </w:rPr>
        <w:t>Que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dado que existe un ahorro operacional mayor al establecido en el acuerdo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del Consejo Directivo No</w:t>
      </w:r>
      <w:r w:rsidR="00AE12D3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017 de 2019, por medio del cual se realiza la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>liquidación de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l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presupuesto 2020,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se hace necesario adicionar dichos recursos a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gastos de funcionamiento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e inversión de la IES CINOC.</w:t>
      </w:r>
    </w:p>
    <w:p w:rsidR="000B3FDA" w:rsidRDefault="005C38AD" w:rsidP="007967F9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Que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>e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s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necesario adicionar estos recursos a los gastos de Funcionamiento e Inversión de la vigencia 2020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>c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>o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mo se muestra a continuación: </w:t>
      </w:r>
    </w:p>
    <w:p w:rsidR="000B3FDA" w:rsidRPr="000B3FDA" w:rsidRDefault="000B3FDA" w:rsidP="000B3FDA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240"/>
        <w:gridCol w:w="1180"/>
        <w:gridCol w:w="1180"/>
        <w:gridCol w:w="1160"/>
      </w:tblGrid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444CE8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Descripción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AE12D3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Apropiación </w:t>
            </w:r>
            <w:r w:rsidR="00444CE8"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Inicial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Acuerdo 017 de 2019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444CE8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Definitivo</w:t>
            </w:r>
            <w:r w:rsidR="00AE12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cierre presupuestal 2019</w:t>
            </w: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AE12D3" w:rsidP="00AE12D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</w:t>
            </w:r>
            <w:r w:rsidR="00444CE8"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iferencia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a adicionar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CE8" w:rsidRPr="00AB5F55" w:rsidRDefault="00444CE8" w:rsidP="00444CE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EXCEDENTES DE ESTABLECIMIENTOS PÚBLICOS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AB5F55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1.818.566.194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AB5F55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4.572.572.040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2.754.005.846</w:t>
            </w:r>
          </w:p>
        </w:tc>
      </w:tr>
      <w:tr w:rsidR="00AE12D3" w:rsidRPr="00444CE8" w:rsidTr="007204D4">
        <w:trPr>
          <w:trHeight w:val="36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3" w:rsidRPr="00AE12D3" w:rsidRDefault="00AE12D3" w:rsidP="00AE12D3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s-CO" w:eastAsia="en-US"/>
              </w:rPr>
            </w:pPr>
            <w:r w:rsidRPr="00AE12D3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eastAsia="es-CO"/>
              </w:rPr>
              <w:t>EXCEDENTES FUNCIONAMIENTO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Propios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28.816.576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90.344.271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61.527.695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lastRenderedPageBreak/>
              <w:t xml:space="preserve">Excedentes Financieros Recursos Nación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Cooperativas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444CE8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</w:t>
            </w:r>
            <w:r w:rsidR="00320E12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Excedentes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</w:tr>
      <w:tr w:rsidR="00AE12D3" w:rsidRPr="00444CE8" w:rsidTr="00E05485">
        <w:trPr>
          <w:trHeight w:val="21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3" w:rsidRPr="00AE12D3" w:rsidRDefault="00AE12D3" w:rsidP="00AE12D3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n-US" w:eastAsia="en-US"/>
              </w:rPr>
            </w:pPr>
            <w:r w:rsidRPr="00AE12D3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eastAsia="es-CO"/>
              </w:rPr>
              <w:t>EXCEDENTES INVERSION</w:t>
            </w:r>
          </w:p>
        </w:tc>
      </w:tr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8A47CB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CREE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1.589.101.413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2.185.586.538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596.485.125</w:t>
            </w:r>
          </w:p>
        </w:tc>
      </w:tr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8A47CB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PFC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200.648.205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1.428.495.496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1.227.847.291</w:t>
            </w:r>
          </w:p>
        </w:tc>
      </w:tr>
    </w:tbl>
    <w:p w:rsidR="000B3FDA" w:rsidRDefault="000B3FDA" w:rsidP="000B3FDA">
      <w:pPr>
        <w:ind w:left="360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0B3FDA" w:rsidRDefault="00A36EBE" w:rsidP="00B71AB5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Que d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 acuerdo a lo anterior se hace necesario solicitar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>a la Asamblea Departamental de Caldas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,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6E1F58">
        <w:rPr>
          <w:rFonts w:asciiTheme="minorHAnsi" w:eastAsia="Calibri" w:hAnsiTheme="minorHAnsi" w:cstheme="minorHAnsi"/>
          <w:sz w:val="20"/>
          <w:szCs w:val="20"/>
          <w:lang w:val="es-MX"/>
        </w:rPr>
        <w:t>una adición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presupuestal de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estos recursos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y gastos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no Incluidos inicialmente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el presupuesto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 la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>vigencia 20</w:t>
      </w:r>
      <w:r w:rsidR="001A0E30">
        <w:rPr>
          <w:rFonts w:asciiTheme="minorHAnsi" w:eastAsia="Calibri" w:hAnsiTheme="minorHAnsi" w:cstheme="minorHAnsi"/>
          <w:sz w:val="20"/>
          <w:szCs w:val="20"/>
          <w:lang w:val="es-MX"/>
        </w:rPr>
        <w:t>20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>de la siguiente manera:</w:t>
      </w:r>
    </w:p>
    <w:p w:rsidR="00D178B0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95541" w:rsidRPr="00064BD0" w:rsidRDefault="00CF681B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064BD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495541" w:rsidRPr="00D45DF0" w:rsidTr="004122D5">
        <w:tc>
          <w:tcPr>
            <w:tcW w:w="6232" w:type="dxa"/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</w:tcPr>
          <w:p w:rsidR="00495541" w:rsidRPr="00D45DF0" w:rsidRDefault="00444CE8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5C38AD" w:rsidRPr="005C38AD">
              <w:rPr>
                <w:rFonts w:asciiTheme="minorHAnsi" w:hAnsiTheme="minorHAnsi" w:cstheme="minorHAnsi"/>
                <w:sz w:val="20"/>
                <w:szCs w:val="20"/>
              </w:rPr>
              <w:t>2.754.005.846</w:t>
            </w:r>
          </w:p>
        </w:tc>
      </w:tr>
      <w:tr w:rsidR="00495541" w:rsidRPr="00D45DF0" w:rsidTr="004122D5">
        <w:tc>
          <w:tcPr>
            <w:tcW w:w="6232" w:type="dxa"/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Recursos </w:t>
            </w: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de capital</w:t>
            </w:r>
          </w:p>
        </w:tc>
        <w:tc>
          <w:tcPr>
            <w:tcW w:w="2596" w:type="dxa"/>
          </w:tcPr>
          <w:p w:rsidR="00495541" w:rsidRPr="00D45DF0" w:rsidRDefault="00444CE8" w:rsidP="004122D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5C38AD" w:rsidRPr="005C38AD">
              <w:rPr>
                <w:rFonts w:asciiTheme="minorHAnsi" w:hAnsiTheme="minorHAnsi" w:cstheme="minorHAnsi"/>
                <w:sz w:val="20"/>
                <w:szCs w:val="20"/>
              </w:rPr>
              <w:t>2.754.005.846</w:t>
            </w:r>
          </w:p>
        </w:tc>
      </w:tr>
    </w:tbl>
    <w:p w:rsidR="00D178B0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BC13BE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495541" w:rsidRPr="00D45DF0" w:rsidTr="004122D5">
        <w:tc>
          <w:tcPr>
            <w:tcW w:w="6232" w:type="dxa"/>
            <w:tcBorders>
              <w:bottom w:val="single" w:sz="4" w:space="0" w:color="auto"/>
            </w:tcBorders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495541" w:rsidRPr="00D45DF0" w:rsidRDefault="005C38AD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$2.754.005.846</w:t>
            </w:r>
          </w:p>
        </w:tc>
      </w:tr>
      <w:tr w:rsidR="00495541" w:rsidRPr="00D45DF0" w:rsidTr="004122D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 xml:space="preserve">   Gastos de funcionamiento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1" w:rsidRPr="00D45DF0" w:rsidRDefault="00444CE8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929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</w:tr>
      <w:tr w:rsidR="00EC1DFA" w:rsidRPr="00D45DF0" w:rsidTr="004122D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A" w:rsidRPr="00D45DF0" w:rsidRDefault="00911706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34E74">
              <w:rPr>
                <w:rFonts w:asciiTheme="minorHAnsi" w:hAnsiTheme="minorHAnsi" w:cstheme="minorHAnsi"/>
                <w:sz w:val="20"/>
                <w:szCs w:val="20"/>
              </w:rPr>
              <w:t>Gastos de inversión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A" w:rsidRDefault="00444CE8" w:rsidP="004122D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332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</w:tbl>
    <w:p w:rsidR="00495541" w:rsidRDefault="00495541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046634" w:rsidRDefault="00A36EBE" w:rsidP="009C7459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Que c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>orresponde al Consejo Directivo,</w:t>
      </w:r>
      <w:r w:rsidR="007D2A9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una vez aprobada la adición por la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Honorable </w:t>
      </w:r>
      <w:r w:rsidR="007D2A9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Asamblea Departamental de Caldas, liquidar la adición presupuestal, 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>de acuerdo al literal E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>)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artículo 17 del Estatuto Interno, 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>“A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>probar el anteproyecto y la liquidación del presupuesto anual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la institución sus </w:t>
      </w:r>
      <w:r w:rsidR="00AE12D3">
        <w:rPr>
          <w:rFonts w:asciiTheme="minorHAnsi" w:eastAsia="Calibri" w:hAnsiTheme="minorHAnsi" w:cstheme="minorHAnsi"/>
          <w:sz w:val="20"/>
          <w:szCs w:val="20"/>
          <w:lang w:val="es-MX"/>
        </w:rPr>
        <w:t>adicciones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>traslados en gastos de funcionamiento entre cuentas, subcuentas y objeto del gasto, y traslados en gastos de inversión entre programas, subprogramas y proyectos; así como el plan anual de cajas con recursos propios y sus modificaciones, de acuerdo con las normas orgánicas del presupuesto nacional y/o del orden departamental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>”</w:t>
      </w:r>
      <w:r w:rsidR="009C7459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</w:p>
    <w:p w:rsidR="00046634" w:rsidRDefault="00046634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7D2A9C" w:rsidRDefault="007D2A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F339C" w:rsidRDefault="005F33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Cordial saludo</w:t>
      </w:r>
    </w:p>
    <w:p w:rsidR="005F339C" w:rsidRDefault="005F339C" w:rsidP="009C5022">
      <w:pPr>
        <w:jc w:val="right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F339C" w:rsidRDefault="005F33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7D2A9C" w:rsidRDefault="007D2A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F339C" w:rsidRDefault="005F33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Libaniel de Jesús Gómez Ramírez</w:t>
      </w:r>
    </w:p>
    <w:p w:rsidR="005F339C" w:rsidRDefault="005F339C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Área administrativa y financiera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val="es-MX"/>
        </w:rPr>
        <w:t>( 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) </w:t>
      </w:r>
    </w:p>
    <w:sectPr w:rsidR="005F339C" w:rsidSect="00A81180">
      <w:headerReference w:type="default" r:id="rId7"/>
      <w:footerReference w:type="default" r:id="rId8"/>
      <w:pgSz w:w="12240" w:h="15840" w:code="1"/>
      <w:pgMar w:top="1701" w:right="1701" w:bottom="141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E4" w:rsidRDefault="002D11E4" w:rsidP="0030189E">
      <w:r>
        <w:separator/>
      </w:r>
    </w:p>
  </w:endnote>
  <w:endnote w:type="continuationSeparator" w:id="0">
    <w:p w:rsidR="002D11E4" w:rsidRDefault="002D11E4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80" w:rsidRDefault="00A81180" w:rsidP="00A81180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26AE630D" wp14:editId="0B1AA897">
          <wp:simplePos x="0" y="0"/>
          <wp:positionH relativeFrom="margin">
            <wp:align>left</wp:align>
          </wp:positionH>
          <wp:positionV relativeFrom="paragraph">
            <wp:posOffset>37082</wp:posOffset>
          </wp:positionV>
          <wp:extent cx="5156200" cy="285115"/>
          <wp:effectExtent l="0" t="0" r="6350" b="635"/>
          <wp:wrapNone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180" w:rsidRDefault="00A81180" w:rsidP="00A81180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</w:p>
  <w:p w:rsidR="00A81180" w:rsidRPr="00C15565" w:rsidRDefault="00A81180" w:rsidP="00A81180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r w:rsidRPr="00C15565">
      <w:rPr>
        <w:rFonts w:ascii="Cambria" w:hAnsi="Cambria" w:cstheme="minorHAnsi"/>
        <w:b/>
        <w:color w:val="000000" w:themeColor="text1"/>
        <w:sz w:val="16"/>
        <w:szCs w:val="16"/>
      </w:rPr>
      <w:t>Carrera 5 No.6-30 Pensilvania - Caldas</w:t>
    </w:r>
  </w:p>
  <w:p w:rsidR="00A81180" w:rsidRPr="00C15565" w:rsidRDefault="002D11E4" w:rsidP="00A81180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hyperlink r:id="rId2" w:history="1">
      <w:r w:rsidR="00A81180" w:rsidRPr="00C15565">
        <w:rPr>
          <w:rStyle w:val="Hipervnculo"/>
          <w:rFonts w:ascii="Cambria" w:hAnsi="Cambria" w:cstheme="minorHAnsi"/>
          <w:b/>
          <w:color w:val="000000" w:themeColor="text1"/>
          <w:spacing w:val="5"/>
          <w:sz w:val="16"/>
          <w:szCs w:val="16"/>
        </w:rPr>
        <w:t>rectoria@iescinoc.edu.co</w:t>
      </w:r>
    </w:hyperlink>
    <w:r w:rsidR="00A81180" w:rsidRPr="00C15565">
      <w:rPr>
        <w:rStyle w:val="go"/>
        <w:rFonts w:ascii="Cambria" w:hAnsi="Cambria" w:cstheme="minorHAnsi"/>
        <w:b/>
        <w:color w:val="000000" w:themeColor="text1"/>
        <w:spacing w:val="5"/>
        <w:sz w:val="16"/>
        <w:szCs w:val="16"/>
      </w:rPr>
      <w:t xml:space="preserve"> Cel. 3136516109-3218011307 NIT.890802678-4</w:t>
    </w:r>
  </w:p>
  <w:p w:rsidR="00A81180" w:rsidRPr="00C15565" w:rsidRDefault="00A81180" w:rsidP="00A81180">
    <w:pPr>
      <w:pStyle w:val="Piedepgina"/>
      <w:rPr>
        <w:rFonts w:ascii="Cambria" w:hAnsi="Cambria"/>
      </w:rPr>
    </w:pPr>
  </w:p>
  <w:p w:rsidR="00660331" w:rsidRDefault="002D1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E4" w:rsidRDefault="002D11E4" w:rsidP="0030189E">
      <w:r>
        <w:separator/>
      </w:r>
    </w:p>
  </w:footnote>
  <w:footnote w:type="continuationSeparator" w:id="0">
    <w:p w:rsidR="002D11E4" w:rsidRDefault="002D11E4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925614" w:rsidP="00674BA5">
    <w:pPr>
      <w:pStyle w:val="Encabezado"/>
      <w:tabs>
        <w:tab w:val="center" w:pos="3686"/>
      </w:tabs>
      <w:ind w:left="1276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2C02407F" wp14:editId="6D711DC7">
          <wp:simplePos x="0" y="0"/>
          <wp:positionH relativeFrom="column">
            <wp:posOffset>-562151</wp:posOffset>
          </wp:positionH>
          <wp:positionV relativeFrom="paragraph">
            <wp:posOffset>-117225</wp:posOffset>
          </wp:positionV>
          <wp:extent cx="1522423" cy="480731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95" cy="4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16"/>
        <w:lang w:val="es-CO" w:eastAsia="es-CO"/>
      </w:rPr>
      <w:tab/>
    </w:r>
    <w:r w:rsidR="00D47B6D" w:rsidRPr="00E55B6B">
      <w:rPr>
        <w:rFonts w:asciiTheme="minorHAnsi" w:hAnsiTheme="minorHAnsi"/>
        <w:b/>
        <w:noProof/>
        <w:sz w:val="22"/>
        <w:szCs w:val="16"/>
        <w:lang w:val="es-CO" w:eastAsia="es-CO"/>
      </w:rPr>
      <w:t>COLEGIO INTEGRADO NACIONAL ORIENTE DE CALDAS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:rsidR="00660331" w:rsidRDefault="002D11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5C"/>
    <w:multiLevelType w:val="hybridMultilevel"/>
    <w:tmpl w:val="06C8A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803"/>
    <w:multiLevelType w:val="hybridMultilevel"/>
    <w:tmpl w:val="E1D8C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537B2"/>
    <w:multiLevelType w:val="hybridMultilevel"/>
    <w:tmpl w:val="F736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7C0"/>
    <w:multiLevelType w:val="hybridMultilevel"/>
    <w:tmpl w:val="F736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2D5E"/>
    <w:multiLevelType w:val="hybridMultilevel"/>
    <w:tmpl w:val="6A8C1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3454"/>
    <w:multiLevelType w:val="hybridMultilevel"/>
    <w:tmpl w:val="4CEC48E6"/>
    <w:lvl w:ilvl="0" w:tplc="7F72CE4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0D03689"/>
    <w:multiLevelType w:val="hybridMultilevel"/>
    <w:tmpl w:val="1CDA18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05F17"/>
    <w:rsid w:val="00006E71"/>
    <w:rsid w:val="0001659A"/>
    <w:rsid w:val="00046634"/>
    <w:rsid w:val="00051730"/>
    <w:rsid w:val="000569A9"/>
    <w:rsid w:val="00064BD0"/>
    <w:rsid w:val="000A73DD"/>
    <w:rsid w:val="000B3FDA"/>
    <w:rsid w:val="000C179D"/>
    <w:rsid w:val="000D5472"/>
    <w:rsid w:val="000D5AFB"/>
    <w:rsid w:val="000F277B"/>
    <w:rsid w:val="00110362"/>
    <w:rsid w:val="001150BC"/>
    <w:rsid w:val="00122066"/>
    <w:rsid w:val="0012512F"/>
    <w:rsid w:val="0014469E"/>
    <w:rsid w:val="00155AC5"/>
    <w:rsid w:val="00160B5F"/>
    <w:rsid w:val="00161784"/>
    <w:rsid w:val="001844DA"/>
    <w:rsid w:val="001A0E30"/>
    <w:rsid w:val="001C07A5"/>
    <w:rsid w:val="001D52DF"/>
    <w:rsid w:val="002272D2"/>
    <w:rsid w:val="00244B12"/>
    <w:rsid w:val="002632F9"/>
    <w:rsid w:val="002771CA"/>
    <w:rsid w:val="002A3C96"/>
    <w:rsid w:val="002A7A76"/>
    <w:rsid w:val="002B6EB5"/>
    <w:rsid w:val="002D11E4"/>
    <w:rsid w:val="0030189E"/>
    <w:rsid w:val="003041BF"/>
    <w:rsid w:val="00320E12"/>
    <w:rsid w:val="00346851"/>
    <w:rsid w:val="003571D9"/>
    <w:rsid w:val="00367DE2"/>
    <w:rsid w:val="0038574D"/>
    <w:rsid w:val="003A5919"/>
    <w:rsid w:val="003C312F"/>
    <w:rsid w:val="003F1158"/>
    <w:rsid w:val="003F2CC9"/>
    <w:rsid w:val="00424063"/>
    <w:rsid w:val="00434E74"/>
    <w:rsid w:val="0043710C"/>
    <w:rsid w:val="00444652"/>
    <w:rsid w:val="00444CE8"/>
    <w:rsid w:val="00461219"/>
    <w:rsid w:val="00464DE3"/>
    <w:rsid w:val="00466662"/>
    <w:rsid w:val="00495541"/>
    <w:rsid w:val="004B1A67"/>
    <w:rsid w:val="004E00E2"/>
    <w:rsid w:val="004F385F"/>
    <w:rsid w:val="00504078"/>
    <w:rsid w:val="00506342"/>
    <w:rsid w:val="005527AD"/>
    <w:rsid w:val="00553474"/>
    <w:rsid w:val="005569B2"/>
    <w:rsid w:val="005570B2"/>
    <w:rsid w:val="0059467A"/>
    <w:rsid w:val="005A7CF3"/>
    <w:rsid w:val="005C38AD"/>
    <w:rsid w:val="005C7573"/>
    <w:rsid w:val="005F339C"/>
    <w:rsid w:val="005F3A12"/>
    <w:rsid w:val="00603055"/>
    <w:rsid w:val="0060416F"/>
    <w:rsid w:val="006108F0"/>
    <w:rsid w:val="00614C93"/>
    <w:rsid w:val="0062334A"/>
    <w:rsid w:val="00623396"/>
    <w:rsid w:val="00626921"/>
    <w:rsid w:val="006740B7"/>
    <w:rsid w:val="006D116D"/>
    <w:rsid w:val="006E12EB"/>
    <w:rsid w:val="006E1F58"/>
    <w:rsid w:val="006E3E79"/>
    <w:rsid w:val="006F129E"/>
    <w:rsid w:val="0070621C"/>
    <w:rsid w:val="00717BC8"/>
    <w:rsid w:val="007339A8"/>
    <w:rsid w:val="007470E3"/>
    <w:rsid w:val="00767D5D"/>
    <w:rsid w:val="00780793"/>
    <w:rsid w:val="00782D45"/>
    <w:rsid w:val="00794458"/>
    <w:rsid w:val="007D120B"/>
    <w:rsid w:val="007D2A9C"/>
    <w:rsid w:val="0080020C"/>
    <w:rsid w:val="00817B3F"/>
    <w:rsid w:val="00827186"/>
    <w:rsid w:val="00835244"/>
    <w:rsid w:val="00835EA2"/>
    <w:rsid w:val="0088437D"/>
    <w:rsid w:val="00896EF9"/>
    <w:rsid w:val="008A14EB"/>
    <w:rsid w:val="008A2DE7"/>
    <w:rsid w:val="008A2E89"/>
    <w:rsid w:val="008A47CB"/>
    <w:rsid w:val="008E060F"/>
    <w:rsid w:val="008E6A3C"/>
    <w:rsid w:val="00904FFB"/>
    <w:rsid w:val="0091066E"/>
    <w:rsid w:val="00911706"/>
    <w:rsid w:val="00925614"/>
    <w:rsid w:val="009942C9"/>
    <w:rsid w:val="009C18C6"/>
    <w:rsid w:val="009C23D0"/>
    <w:rsid w:val="009C381D"/>
    <w:rsid w:val="009C5022"/>
    <w:rsid w:val="009C7459"/>
    <w:rsid w:val="009D4AC8"/>
    <w:rsid w:val="00A07E44"/>
    <w:rsid w:val="00A11E65"/>
    <w:rsid w:val="00A21981"/>
    <w:rsid w:val="00A32F32"/>
    <w:rsid w:val="00A36EBE"/>
    <w:rsid w:val="00A57446"/>
    <w:rsid w:val="00A81180"/>
    <w:rsid w:val="00AB1045"/>
    <w:rsid w:val="00AB5F55"/>
    <w:rsid w:val="00AD0CEF"/>
    <w:rsid w:val="00AE12D3"/>
    <w:rsid w:val="00AE3EC0"/>
    <w:rsid w:val="00B00F43"/>
    <w:rsid w:val="00B028B9"/>
    <w:rsid w:val="00B71AB5"/>
    <w:rsid w:val="00B84E2A"/>
    <w:rsid w:val="00BA05A2"/>
    <w:rsid w:val="00BC13BE"/>
    <w:rsid w:val="00BD144E"/>
    <w:rsid w:val="00BE6ED2"/>
    <w:rsid w:val="00C42CD0"/>
    <w:rsid w:val="00C44318"/>
    <w:rsid w:val="00C50AC9"/>
    <w:rsid w:val="00C521D4"/>
    <w:rsid w:val="00C54F89"/>
    <w:rsid w:val="00C60B18"/>
    <w:rsid w:val="00C774D6"/>
    <w:rsid w:val="00CA44A3"/>
    <w:rsid w:val="00CF681B"/>
    <w:rsid w:val="00D01C04"/>
    <w:rsid w:val="00D03A9F"/>
    <w:rsid w:val="00D10805"/>
    <w:rsid w:val="00D157C6"/>
    <w:rsid w:val="00D178B0"/>
    <w:rsid w:val="00D22585"/>
    <w:rsid w:val="00D45383"/>
    <w:rsid w:val="00D45DF0"/>
    <w:rsid w:val="00D47B56"/>
    <w:rsid w:val="00D47B6D"/>
    <w:rsid w:val="00D71B29"/>
    <w:rsid w:val="00DA141A"/>
    <w:rsid w:val="00DC0937"/>
    <w:rsid w:val="00DF3229"/>
    <w:rsid w:val="00E00441"/>
    <w:rsid w:val="00E11AC2"/>
    <w:rsid w:val="00E2462D"/>
    <w:rsid w:val="00E672B3"/>
    <w:rsid w:val="00E767D7"/>
    <w:rsid w:val="00E81CEB"/>
    <w:rsid w:val="00EC1DFA"/>
    <w:rsid w:val="00ED4BE2"/>
    <w:rsid w:val="00EE0CB7"/>
    <w:rsid w:val="00F1226D"/>
    <w:rsid w:val="00F23D9B"/>
    <w:rsid w:val="00F24095"/>
    <w:rsid w:val="00F26285"/>
    <w:rsid w:val="00F33F96"/>
    <w:rsid w:val="00F345B7"/>
    <w:rsid w:val="00F44D31"/>
    <w:rsid w:val="00F61696"/>
    <w:rsid w:val="00F66B90"/>
    <w:rsid w:val="00F965DA"/>
    <w:rsid w:val="00FA2F57"/>
    <w:rsid w:val="00FC7CA0"/>
    <w:rsid w:val="00FD4BE0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6653"/>
  <w15:docId w15:val="{DC37F70B-B5A6-4426-95B1-29B8FCC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44652"/>
    <w:pPr>
      <w:keepNext/>
      <w:jc w:val="both"/>
      <w:outlineLvl w:val="0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1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44652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44652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44652"/>
    <w:pPr>
      <w:ind w:left="708"/>
    </w:pPr>
    <w:rPr>
      <w:lang w:val="es-CO"/>
    </w:rPr>
  </w:style>
  <w:style w:type="paragraph" w:styleId="Ttulo">
    <w:name w:val="Title"/>
    <w:basedOn w:val="Normal"/>
    <w:link w:val="TtuloCar"/>
    <w:qFormat/>
    <w:rsid w:val="00444652"/>
    <w:pPr>
      <w:jc w:val="center"/>
    </w:pPr>
    <w:rPr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4465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E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body text,bt"/>
    <w:basedOn w:val="Normal"/>
    <w:link w:val="TextoindependienteCar"/>
    <w:rsid w:val="00D22585"/>
    <w:pPr>
      <w:jc w:val="both"/>
    </w:p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D225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811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81180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A8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SecGeneral</cp:lastModifiedBy>
  <cp:revision>40</cp:revision>
  <cp:lastPrinted>2017-05-22T21:46:00Z</cp:lastPrinted>
  <dcterms:created xsi:type="dcterms:W3CDTF">2018-06-07T13:22:00Z</dcterms:created>
  <dcterms:modified xsi:type="dcterms:W3CDTF">2020-04-14T20:31:00Z</dcterms:modified>
</cp:coreProperties>
</file>