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9A" w:rsidRPr="0089166F" w:rsidRDefault="0001659A" w:rsidP="0001659A">
      <w:bookmarkStart w:id="0" w:name="_GoBack"/>
      <w:bookmarkEnd w:id="0"/>
    </w:p>
    <w:p w:rsidR="001A60B9" w:rsidRPr="00D62CB5" w:rsidRDefault="001A60B9" w:rsidP="001A60B9">
      <w:pPr>
        <w:jc w:val="center"/>
        <w:rPr>
          <w:b/>
          <w:color w:val="000000"/>
          <w:sz w:val="36"/>
          <w:szCs w:val="36"/>
          <w:lang w:val="es-MX"/>
        </w:rPr>
      </w:pPr>
      <w:r w:rsidRPr="00D62CB5">
        <w:rPr>
          <w:b/>
          <w:color w:val="000000"/>
          <w:sz w:val="36"/>
          <w:szCs w:val="36"/>
          <w:lang w:val="es-MX"/>
        </w:rPr>
        <w:t>COLEGIO INTEGRADO NACIONAL ORIENTE DE CALDAS</w:t>
      </w:r>
    </w:p>
    <w:p w:rsidR="001A60B9" w:rsidRDefault="001A60B9" w:rsidP="001A60B9">
      <w:pPr>
        <w:jc w:val="center"/>
        <w:rPr>
          <w:color w:val="000000"/>
          <w:sz w:val="52"/>
          <w:lang w:val="es-MX"/>
        </w:rPr>
      </w:pPr>
    </w:p>
    <w:p w:rsidR="001A60B9" w:rsidRDefault="001A60B9" w:rsidP="001A60B9">
      <w:pPr>
        <w:jc w:val="center"/>
        <w:rPr>
          <w:color w:val="000000"/>
          <w:sz w:val="52"/>
          <w:lang w:val="es-MX"/>
        </w:rPr>
      </w:pPr>
    </w:p>
    <w:p w:rsidR="001A60B9" w:rsidRDefault="00CB393C" w:rsidP="001A60B9">
      <w:pPr>
        <w:jc w:val="center"/>
        <w:rPr>
          <w:color w:val="000000"/>
          <w:sz w:val="52"/>
          <w:lang w:val="es-MX"/>
        </w:rPr>
      </w:pPr>
      <w:r>
        <w:rPr>
          <w:noProof/>
          <w:color w:val="000000"/>
          <w:sz w:val="52"/>
          <w:lang w:val="es-CO" w:eastAsia="es-CO"/>
        </w:rPr>
        <w:drawing>
          <wp:inline distT="0" distB="0" distL="0" distR="0" wp14:anchorId="427B490E">
            <wp:extent cx="2819951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51" cy="9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0B9" w:rsidRDefault="001A60B9" w:rsidP="001A60B9">
      <w:pPr>
        <w:jc w:val="center"/>
        <w:rPr>
          <w:color w:val="000000"/>
          <w:sz w:val="52"/>
          <w:lang w:val="es-MX"/>
        </w:rPr>
      </w:pPr>
    </w:p>
    <w:p w:rsidR="001A60B9" w:rsidRPr="00304EED" w:rsidRDefault="001A60B9" w:rsidP="001A60B9">
      <w:pPr>
        <w:jc w:val="center"/>
        <w:rPr>
          <w:color w:val="000000"/>
          <w:sz w:val="52"/>
          <w:lang w:val="es-MX"/>
        </w:rPr>
      </w:pPr>
    </w:p>
    <w:p w:rsidR="001A60B9" w:rsidRDefault="001A60B9" w:rsidP="001A60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1A60B9" w:rsidRDefault="001A60B9" w:rsidP="001A60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1A60B9" w:rsidRPr="00304EED" w:rsidRDefault="001A60B9" w:rsidP="001A60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PLAN RENDICION DE CUENTAS </w:t>
      </w:r>
    </w:p>
    <w:p w:rsidR="001A60B9" w:rsidRPr="00E361A1" w:rsidRDefault="001A60B9" w:rsidP="001A60B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304EED">
        <w:rPr>
          <w:b/>
          <w:bCs/>
          <w:color w:val="000000"/>
          <w:sz w:val="40"/>
          <w:szCs w:val="40"/>
        </w:rPr>
        <w:t xml:space="preserve"> </w:t>
      </w:r>
      <w:r w:rsidRPr="00304EED">
        <w:rPr>
          <w:color w:val="000000"/>
          <w:sz w:val="40"/>
          <w:szCs w:val="40"/>
        </w:rPr>
        <w:t xml:space="preserve"> </w:t>
      </w:r>
      <w:r>
        <w:rPr>
          <w:rFonts w:cs="Arial"/>
          <w:b/>
          <w:bCs/>
          <w:color w:val="000000"/>
          <w:sz w:val="40"/>
          <w:szCs w:val="40"/>
        </w:rPr>
        <w:t>2020</w:t>
      </w:r>
    </w:p>
    <w:p w:rsidR="001A60B9" w:rsidRDefault="001A60B9" w:rsidP="001A60B9">
      <w:pPr>
        <w:rPr>
          <w:color w:val="000000"/>
          <w:sz w:val="52"/>
          <w:lang w:val="es-MX"/>
        </w:rPr>
      </w:pPr>
    </w:p>
    <w:p w:rsidR="00CB393C" w:rsidRDefault="00CB393C" w:rsidP="001A60B9">
      <w:pPr>
        <w:rPr>
          <w:color w:val="000000"/>
          <w:sz w:val="52"/>
          <w:lang w:val="es-MX"/>
        </w:rPr>
      </w:pPr>
    </w:p>
    <w:p w:rsidR="00CB393C" w:rsidRDefault="00CB393C" w:rsidP="001A60B9">
      <w:pPr>
        <w:rPr>
          <w:color w:val="000000"/>
          <w:sz w:val="52"/>
          <w:lang w:val="es-MX"/>
        </w:rPr>
      </w:pPr>
    </w:p>
    <w:p w:rsidR="00CB393C" w:rsidRDefault="00CB393C" w:rsidP="001A60B9">
      <w:pPr>
        <w:rPr>
          <w:color w:val="000000"/>
          <w:sz w:val="52"/>
          <w:lang w:val="es-MX"/>
        </w:rPr>
      </w:pPr>
    </w:p>
    <w:p w:rsidR="00CB393C" w:rsidRDefault="00CB393C" w:rsidP="001A60B9">
      <w:pPr>
        <w:rPr>
          <w:color w:val="000000"/>
          <w:sz w:val="52"/>
          <w:lang w:val="es-MX"/>
        </w:rPr>
      </w:pPr>
    </w:p>
    <w:p w:rsidR="00CB393C" w:rsidRDefault="00CB393C" w:rsidP="001A60B9">
      <w:pPr>
        <w:rPr>
          <w:color w:val="000000"/>
          <w:sz w:val="52"/>
          <w:lang w:val="es-MX"/>
        </w:rPr>
      </w:pPr>
    </w:p>
    <w:p w:rsidR="00CB393C" w:rsidRDefault="00CB393C" w:rsidP="001A60B9">
      <w:pPr>
        <w:rPr>
          <w:color w:val="000000"/>
          <w:sz w:val="52"/>
          <w:lang w:val="es-MX"/>
        </w:rPr>
      </w:pPr>
    </w:p>
    <w:p w:rsidR="00CB393C" w:rsidRPr="00304EED" w:rsidRDefault="00CB393C" w:rsidP="001A60B9">
      <w:pPr>
        <w:rPr>
          <w:color w:val="000000"/>
          <w:sz w:val="52"/>
          <w:lang w:val="es-MX"/>
        </w:rPr>
      </w:pPr>
    </w:p>
    <w:p w:rsidR="001A60B9" w:rsidRPr="00304EED" w:rsidRDefault="001A60B9" w:rsidP="001A60B9">
      <w:pPr>
        <w:jc w:val="center"/>
        <w:rPr>
          <w:color w:val="000000"/>
          <w:sz w:val="40"/>
          <w:szCs w:val="40"/>
          <w:lang w:val="es-MX"/>
        </w:rPr>
      </w:pPr>
      <w:r w:rsidRPr="00304EED">
        <w:rPr>
          <w:color w:val="000000"/>
          <w:sz w:val="40"/>
          <w:szCs w:val="40"/>
          <w:lang w:val="es-MX"/>
        </w:rPr>
        <w:t xml:space="preserve">Pensilvania-Caldas, </w:t>
      </w:r>
      <w:proofErr w:type="gramStart"/>
      <w:r w:rsidR="00976FDE">
        <w:rPr>
          <w:color w:val="000000"/>
          <w:sz w:val="40"/>
          <w:szCs w:val="40"/>
          <w:lang w:val="es-MX"/>
        </w:rPr>
        <w:t>Febrero</w:t>
      </w:r>
      <w:proofErr w:type="gramEnd"/>
      <w:r w:rsidR="00976FDE">
        <w:rPr>
          <w:color w:val="000000"/>
          <w:sz w:val="40"/>
          <w:szCs w:val="40"/>
          <w:lang w:val="es-MX"/>
        </w:rPr>
        <w:t xml:space="preserve"> 03</w:t>
      </w:r>
      <w:r>
        <w:rPr>
          <w:color w:val="000000"/>
          <w:sz w:val="40"/>
          <w:szCs w:val="40"/>
          <w:lang w:val="es-MX"/>
        </w:rPr>
        <w:t xml:space="preserve"> de 2020</w:t>
      </w:r>
    </w:p>
    <w:p w:rsidR="001A60B9" w:rsidRDefault="001A60B9" w:rsidP="001A60B9">
      <w:pPr>
        <w:tabs>
          <w:tab w:val="left" w:pos="7162"/>
        </w:tabs>
      </w:pPr>
      <w:r>
        <w:tab/>
      </w: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Pr="00674002" w:rsidRDefault="001A60B9" w:rsidP="001A60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674002">
        <w:rPr>
          <w:rFonts w:ascii="Arial" w:hAnsi="Arial" w:cs="Arial"/>
          <w:color w:val="000000"/>
          <w:sz w:val="28"/>
          <w:szCs w:val="28"/>
        </w:rPr>
        <w:t xml:space="preserve">EQUIPO DE TRABAJO PARA LA ELABORACION DEL PLAN </w:t>
      </w:r>
      <w:r>
        <w:rPr>
          <w:rFonts w:ascii="Arial" w:hAnsi="Arial" w:cs="Arial"/>
          <w:color w:val="000000"/>
          <w:sz w:val="28"/>
          <w:szCs w:val="28"/>
        </w:rPr>
        <w:t>DE RENDICION DE CUENTAS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</w:rPr>
      </w:pP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</w:rPr>
      </w:pP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JUAN CARLOS LOAIZA SERNA</w:t>
      </w:r>
      <w:r w:rsidRPr="00674002">
        <w:rPr>
          <w:b/>
          <w:bCs/>
          <w:color w:val="000000"/>
          <w:sz w:val="28"/>
          <w:szCs w:val="28"/>
          <w:lang w:val="pt-BR"/>
        </w:rPr>
        <w:t xml:space="preserve">.  </w:t>
      </w:r>
    </w:p>
    <w:p w:rsidR="001A60B9" w:rsidRPr="009E5584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  <w:proofErr w:type="spellStart"/>
      <w:r w:rsidRPr="009E5584">
        <w:rPr>
          <w:color w:val="000000"/>
          <w:sz w:val="28"/>
          <w:szCs w:val="28"/>
          <w:lang w:val="pt-BR"/>
        </w:rPr>
        <w:t>Rector</w:t>
      </w:r>
      <w:proofErr w:type="spellEnd"/>
    </w:p>
    <w:p w:rsidR="001A60B9" w:rsidRPr="009E5584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pt-BR"/>
        </w:rPr>
      </w:pPr>
      <w:r w:rsidRPr="00674002">
        <w:rPr>
          <w:b/>
          <w:bCs/>
          <w:color w:val="000000"/>
          <w:sz w:val="28"/>
          <w:szCs w:val="28"/>
          <w:lang w:val="pt-BR"/>
        </w:rPr>
        <w:t xml:space="preserve">ALBA LIBIA MARULANDA OSPINA.  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Secretaria General.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JOSE NICOLAS OTALVARO</w:t>
      </w:r>
      <w:r w:rsidRPr="00674002">
        <w:rPr>
          <w:b/>
          <w:bCs/>
          <w:color w:val="000000"/>
          <w:sz w:val="28"/>
          <w:szCs w:val="28"/>
        </w:rPr>
        <w:t xml:space="preserve">.  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Vicerrector Académico.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 xml:space="preserve">GLORIA MARIA HOYOS GIRALDO.  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Asesora de Planeación.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 xml:space="preserve">GERSON ORIOL TAPASCO ALZATE.  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Jefe de Talento Humano.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 xml:space="preserve">LIBANIEL DE JESUS GOMEZ R.  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Jefe División Administrativa y Financiera.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LEYDI JANICE CARDONA MAZO</w:t>
      </w:r>
      <w:r w:rsidRPr="00674002">
        <w:rPr>
          <w:b/>
          <w:bCs/>
          <w:color w:val="000000"/>
          <w:sz w:val="28"/>
          <w:szCs w:val="28"/>
        </w:rPr>
        <w:t xml:space="preserve">.  </w:t>
      </w:r>
    </w:p>
    <w:p w:rsidR="001A60B9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Contadora.</w:t>
      </w:r>
    </w:p>
    <w:p w:rsidR="001A60B9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60B9" w:rsidRPr="00674002" w:rsidRDefault="001A60B9" w:rsidP="001A6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>JUAN PABLO HERRERA ARCE.</w:t>
      </w:r>
    </w:p>
    <w:p w:rsidR="001A60B9" w:rsidRPr="00304EED" w:rsidRDefault="001A60B9" w:rsidP="001A60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Asesor de Control Interno.</w:t>
      </w:r>
    </w:p>
    <w:p w:rsidR="001A60B9" w:rsidRDefault="001A60B9" w:rsidP="001A60B9">
      <w:pPr>
        <w:tabs>
          <w:tab w:val="left" w:pos="7162"/>
        </w:tabs>
      </w:pPr>
      <w:r>
        <w:t xml:space="preserve"> </w:t>
      </w: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Default="001A60B9" w:rsidP="001A60B9">
      <w:pPr>
        <w:tabs>
          <w:tab w:val="left" w:pos="7162"/>
        </w:tabs>
      </w:pPr>
    </w:p>
    <w:p w:rsidR="001A60B9" w:rsidRPr="00304EED" w:rsidRDefault="001A60B9" w:rsidP="001A60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4EED">
        <w:rPr>
          <w:b/>
          <w:bCs/>
          <w:color w:val="000000"/>
        </w:rPr>
        <w:t>INTRODUCCION</w:t>
      </w: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La Institución de Educación Superior Colegio Integrado Nacional Oriente de Caldas ratifica su compromiso con la formación </w:t>
      </w:r>
      <w:r>
        <w:rPr>
          <w:rFonts w:cs="Arial"/>
          <w:color w:val="000000"/>
        </w:rPr>
        <w:t xml:space="preserve">con calidad </w:t>
      </w:r>
      <w:r w:rsidRPr="00304EED">
        <w:rPr>
          <w:rFonts w:cs="Arial"/>
          <w:color w:val="000000"/>
        </w:rPr>
        <w:t>de</w:t>
      </w:r>
      <w:r>
        <w:rPr>
          <w:rFonts w:cs="Arial"/>
          <w:color w:val="000000"/>
        </w:rPr>
        <w:t>l</w:t>
      </w:r>
      <w:r w:rsidRPr="00304EED">
        <w:rPr>
          <w:rFonts w:cs="Arial"/>
          <w:color w:val="000000"/>
        </w:rPr>
        <w:t xml:space="preserve"> capital humano que contribuya al desarrollo económico, social y ambiental del Departamento de Caldas, apuntando a la construcción de mejores condiciones de bienestar para todos los ciudadanos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Se busca generar confianza en la ciudadanía para que pueda participar e intervenir en la administración pública, ya que la estructura del Estado debe estar al servicio de los ciudadanos para la lograr un goce efectivo de los derechos.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La lucha contra la corrupción debe ser un objetivo permanente que busque orientar la gestión hacia la eficiencia y la transparencia, así como dotar de más herramientas a la comunidad educativa y ciudadanía en general para ejercer su derecho a controlar la gestión de las Instituciones Educativas.  Para lograr este objetivo la </w:t>
      </w:r>
      <w:r>
        <w:rPr>
          <w:rFonts w:cs="Arial"/>
          <w:color w:val="000000"/>
        </w:rPr>
        <w:t>Institución de Educación Superior Colegio Integrado Nacional Oriente de C</w:t>
      </w:r>
      <w:r w:rsidRPr="00304EED">
        <w:rPr>
          <w:rFonts w:cs="Arial"/>
          <w:color w:val="000000"/>
        </w:rPr>
        <w:t xml:space="preserve">aldas </w:t>
      </w:r>
      <w:r>
        <w:rPr>
          <w:rFonts w:cs="Arial"/>
          <w:color w:val="000000"/>
        </w:rPr>
        <w:t>IES CINOC</w:t>
      </w:r>
      <w:r w:rsidRPr="00304EED">
        <w:rPr>
          <w:rFonts w:cs="Arial"/>
          <w:color w:val="000000"/>
        </w:rPr>
        <w:t xml:space="preserve"> definió unas estrategias conforme a los procesos institucionales incluidos en el </w:t>
      </w:r>
      <w:r>
        <w:rPr>
          <w:rFonts w:cs="Arial"/>
          <w:color w:val="000000"/>
        </w:rPr>
        <w:t>Modelo Integrado de Planeación y Gestión</w:t>
      </w:r>
      <w:r w:rsidRPr="00304EED">
        <w:rPr>
          <w:rFonts w:cs="Arial"/>
          <w:color w:val="000000"/>
        </w:rPr>
        <w:t>, Plan de Desarrollo Institucional</w:t>
      </w:r>
      <w:r>
        <w:rPr>
          <w:rFonts w:cs="Arial"/>
          <w:color w:val="000000"/>
        </w:rPr>
        <w:t xml:space="preserve"> 2020 -2022</w:t>
      </w:r>
      <w:r w:rsidRPr="00304EED">
        <w:rPr>
          <w:rFonts w:cs="Arial"/>
          <w:color w:val="000000"/>
        </w:rPr>
        <w:t xml:space="preserve"> y Plan Operativo Anual, en torno al cumplimiento de las metas enmarcadas en las siguientes</w:t>
      </w:r>
      <w:r>
        <w:rPr>
          <w:rFonts w:cs="Arial"/>
          <w:color w:val="000000"/>
        </w:rPr>
        <w:t xml:space="preserve"> variables</w:t>
      </w:r>
      <w:r w:rsidRPr="00304EED">
        <w:rPr>
          <w:rFonts w:cs="Arial"/>
          <w:color w:val="000000"/>
        </w:rPr>
        <w:t xml:space="preserve"> estratégicas: 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1A57E5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Financiera.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Visibilidad institucional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Investigación, proyección social e internacionalización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Oferta y calidad de programas y servicios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Modelo de enseñanza y labor académica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Mediciones virtuales e incorporación de las TICS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Infraestructura física tecnológica y capacidades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Suficiencia,</w:t>
      </w:r>
      <w:r>
        <w:rPr>
          <w:rFonts w:cs="Arial"/>
          <w:i/>
          <w:iCs/>
          <w:color w:val="000000"/>
        </w:rPr>
        <w:t xml:space="preserve"> competencia y pertinencia del talento h</w:t>
      </w:r>
      <w:r w:rsidRPr="001A57E5">
        <w:rPr>
          <w:rFonts w:cs="Arial"/>
          <w:i/>
          <w:iCs/>
          <w:color w:val="000000"/>
        </w:rPr>
        <w:t>umano del CINOC</w:t>
      </w:r>
    </w:p>
    <w:p w:rsidR="001A60B9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Ambiente laboral y modernización organizacional</w:t>
      </w:r>
    </w:p>
    <w:p w:rsidR="001A60B9" w:rsidRPr="001A57E5" w:rsidRDefault="001A60B9" w:rsidP="001A60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Institucionalidad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En tal sentido la entidad ha venido definiendo acciones que buscan evidenciar una gestión transparente e íntegra al servicio del ciudadano y la participación de la comunidad educativa en la formulación de sus planes, programas y proyectos.  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Por lo anterior y para dar cumplimiento a lo previsto en el capítulo sexto "Políticas Institucionales y Pedagógicas" de la Ley 1474 de 2011 "Estatuto Anticorrupción", y luego de su revisión y ajuste, la institución formuló el siguiente plan de acción para </w:t>
      </w:r>
      <w:r>
        <w:rPr>
          <w:rFonts w:cs="Arial"/>
          <w:color w:val="000000"/>
        </w:rPr>
        <w:t xml:space="preserve">la rendición de cuentas </w:t>
      </w:r>
      <w:r w:rsidRPr="00304EED">
        <w:rPr>
          <w:rFonts w:cs="Arial"/>
          <w:color w:val="000000"/>
        </w:rPr>
        <w:t xml:space="preserve">para la vigencia </w:t>
      </w:r>
      <w:r>
        <w:rPr>
          <w:rFonts w:cs="Arial"/>
          <w:color w:val="000000"/>
        </w:rPr>
        <w:t>2020</w:t>
      </w:r>
      <w:r w:rsidRPr="00304EED">
        <w:rPr>
          <w:rFonts w:cs="Arial"/>
          <w:color w:val="000000"/>
        </w:rPr>
        <w:t>.</w:t>
      </w: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Default="001A60B9" w:rsidP="001A60B9">
      <w:pPr>
        <w:tabs>
          <w:tab w:val="left" w:pos="7162"/>
        </w:tabs>
        <w:rPr>
          <w:sz w:val="14"/>
          <w:szCs w:val="14"/>
        </w:rPr>
      </w:pP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04EED">
        <w:rPr>
          <w:rFonts w:cs="Arial"/>
          <w:b/>
          <w:bCs/>
          <w:color w:val="000000"/>
        </w:rPr>
        <w:t>FUNDAMENTO LEGAL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La siguiente es la normatividad que enmarca la formulación del plan de la institución: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B393C" w:rsidRPr="00304EED" w:rsidRDefault="00CB393C" w:rsidP="00CB393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B393C" w:rsidRPr="00CB393C" w:rsidRDefault="00CB393C" w:rsidP="00CB393C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Constitución Política de Colombia.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CB393C">
        <w:rPr>
          <w:rFonts w:cs="Arial"/>
          <w:bCs/>
          <w:color w:val="000000"/>
        </w:rPr>
        <w:t>Ley 30 de 1992 Ley General de Educación Superior.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152 de 1994 Por la cual se establece la ley orgánica del plan de desarrollo.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190 de 1995 (normas para preservar la moralidad en la administración pública y se fijan disposiciones con el fin de erradicar la corrupción administrativa).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Decreto 2232 de 1995: Artículos 70, 80 y 90 (Por medio del cual se reglamenta la Ley 190 de 1995).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489 de 1998, artículo 32 (Democratización de la Administración Pública).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599 de 2000 (Código Penal).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610 de 2000 (establece el trámite de los procesos de responsabilidad fiscal de competencia de las contralorías).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678 de 2001, numeral 2, artículo 8° (Acción de Repetición).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734 de 2002 (Código Único Disciplinario). DEROGADA Ley 1952 del 28 de enero de 2019.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850 de 2003 (Veedurías Ciudadanas).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Resolución Interna No. 041 de febrero 03 de 2020, por la cual se adopta el Mapa de Riesgos de la institución.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1150 de 2007 (Dicta medidas de eficiencia y transparencia en la contratación con Recursos Públicos). Reglamentada parcialmente por los Decretos Nacionales </w:t>
      </w:r>
      <w:hyperlink r:id="rId8" w:anchor="0" w:history="1">
        <w:r w:rsidRPr="00CB393C">
          <w:rPr>
            <w:color w:val="000000"/>
          </w:rPr>
          <w:t>066</w:t>
        </w:r>
      </w:hyperlink>
      <w:r w:rsidRPr="00CB393C">
        <w:rPr>
          <w:rFonts w:cs="Arial"/>
          <w:color w:val="000000"/>
        </w:rPr>
        <w:t> y </w:t>
      </w:r>
      <w:hyperlink r:id="rId9" w:anchor="0" w:history="1">
        <w:r w:rsidRPr="00CB393C">
          <w:rPr>
            <w:color w:val="000000"/>
          </w:rPr>
          <w:t>2474</w:t>
        </w:r>
      </w:hyperlink>
      <w:r w:rsidRPr="00CB393C">
        <w:rPr>
          <w:rFonts w:cs="Arial"/>
          <w:color w:val="000000"/>
        </w:rPr>
        <w:t> de 2008, </w:t>
      </w:r>
      <w:hyperlink r:id="rId10" w:anchor="0" w:history="1">
        <w:r w:rsidRPr="00CB393C">
          <w:rPr>
            <w:color w:val="000000"/>
          </w:rPr>
          <w:t>Reglamentada por el Decreto Nacional 2473 de 2010</w:t>
        </w:r>
      </w:hyperlink>
      <w:r w:rsidRPr="00CB393C">
        <w:rPr>
          <w:rFonts w:cs="Arial"/>
          <w:color w:val="000000"/>
        </w:rPr>
        <w:t>, </w:t>
      </w:r>
      <w:hyperlink r:id="rId11" w:anchor="0" w:history="1">
        <w:r w:rsidRPr="00CB393C">
          <w:rPr>
            <w:color w:val="000000"/>
          </w:rPr>
          <w:t>Reglamentada por el Decreto Nacional 734 de 2012</w:t>
        </w:r>
      </w:hyperlink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CB393C">
        <w:rPr>
          <w:rFonts w:cs="Arial"/>
          <w:bCs/>
          <w:color w:val="000000"/>
        </w:rPr>
        <w:t>Ley 1188 de 2008 Por el cual se regula el registro calificado de los programas de educación superior. Decreto 1295 de abril de 2010, Decreto 1330 de 2019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CB393C">
        <w:rPr>
          <w:rFonts w:cs="Arial"/>
          <w:bCs/>
          <w:color w:val="000000"/>
        </w:rPr>
        <w:t xml:space="preserve">Decreto 1295 de 2010 Por el cual se reglamenta registro calificado de que trata la Ley 1188 de 2008. 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1437 de 2011, artículos 67, 68 y 69 (Código de Procedimiento Administrativo y de lo Contencioso Administrativo).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 xml:space="preserve">Ley 1474 de 2011 </w:t>
      </w:r>
      <w:r w:rsidRPr="00CB393C">
        <w:rPr>
          <w:rFonts w:cs="Arial"/>
          <w:bCs/>
          <w:color w:val="000000"/>
        </w:rPr>
        <w:t xml:space="preserve">Estatuto anticorrupción y anti trámites. </w:t>
      </w:r>
      <w:r w:rsidRPr="00CB393C">
        <w:rPr>
          <w:rFonts w:cs="Arial"/>
          <w:color w:val="000000"/>
        </w:rPr>
        <w:t>(dictan normas para fortalecer los mecanismos de prevención, investigación y sanción de actos de corrupción y la efectividad del control de la gestión pública).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 xml:space="preserve">Ley 1712 de 2014 </w:t>
      </w:r>
      <w:r w:rsidRPr="00CB393C">
        <w:rPr>
          <w:rFonts w:ascii="Arial" w:hAnsi="Arial" w:cs="Arial"/>
          <w:color w:val="3C4043"/>
          <w:sz w:val="21"/>
          <w:szCs w:val="21"/>
          <w:shd w:val="clear" w:color="auto" w:fill="FFFFFF"/>
        </w:rPr>
        <w:t>“Por medio de la cual se crea la Ley de Transparencia y del Derecho de Acceso a la Información Pública Nacional y se dictan otras disposiciones” 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Decreto 4632 de 2011 (Reglamenta Comisión Nacional para la Moralización y la Comisión Nacional Ciudadana para la Lucha contra la Corrupción).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Documento CONPES 3714 de diciembre 01 de 2011: Del Riesgo Previsible en el Marco de la Política de Contratación Pública.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Ley 1473 de 2011 Por la cual se modifica parcialmente la Ley 152 de 1994.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lastRenderedPageBreak/>
        <w:t>Decreto 0019 de 2012 (Normas para suprimir o reformar regulaciones, procedimientos y trámites innecesarios existentes en la Administración Pública).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393C">
        <w:rPr>
          <w:rFonts w:cs="Arial"/>
          <w:color w:val="000000"/>
        </w:rPr>
        <w:t>Decreto 734 de 2012 Reglamenta el Estatuto General de Contratación.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CB393C">
        <w:rPr>
          <w:rFonts w:cs="Arial"/>
          <w:bCs/>
          <w:color w:val="000000"/>
        </w:rPr>
        <w:t>Decreto 2641 de 2012 Por el cual se reglamentan los artículos 73 y 76 de la Ley 1474 de 2011.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CB393C">
        <w:rPr>
          <w:rFonts w:cs="Arial"/>
          <w:bCs/>
          <w:color w:val="000000"/>
        </w:rPr>
        <w:t>Decreto 1510 de 2013 Por el cual se reglamenta el sistema de compras y contratación pública.</w:t>
      </w:r>
    </w:p>
    <w:p w:rsidR="00CB393C" w:rsidRPr="00CB393C" w:rsidRDefault="00CB393C" w:rsidP="00CB393C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 w:rsidRPr="00CB393C">
        <w:rPr>
          <w:rFonts w:cs="Arial"/>
          <w:bCs/>
          <w:color w:val="000000"/>
        </w:rPr>
        <w:t xml:space="preserve">Decreto Ley 1075 de 2015. </w:t>
      </w:r>
      <w:r w:rsidRPr="00CB393C">
        <w:rPr>
          <w:rFonts w:ascii="Arial" w:hAnsi="Arial" w:cs="Arial"/>
          <w:color w:val="3C4043"/>
          <w:sz w:val="21"/>
          <w:szCs w:val="21"/>
          <w:shd w:val="clear" w:color="auto" w:fill="FFFFFF"/>
        </w:rPr>
        <w:t>Decreto Único Reglamentario del Sector Educación</w:t>
      </w:r>
    </w:p>
    <w:p w:rsidR="00CB393C" w:rsidRPr="00751902" w:rsidRDefault="00CB393C" w:rsidP="00CB393C">
      <w:pPr>
        <w:autoSpaceDE w:val="0"/>
        <w:autoSpaceDN w:val="0"/>
        <w:adjustRightInd w:val="0"/>
        <w:ind w:left="720"/>
        <w:jc w:val="both"/>
        <w:rPr>
          <w:rFonts w:cs="Arial"/>
          <w:bCs/>
          <w:color w:val="000000"/>
        </w:rPr>
      </w:pPr>
    </w:p>
    <w:p w:rsidR="001A60B9" w:rsidRPr="00304EED" w:rsidRDefault="001A60B9" w:rsidP="001A60B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04EED">
        <w:rPr>
          <w:rFonts w:cs="Arial"/>
          <w:b/>
          <w:bCs/>
          <w:color w:val="000000"/>
        </w:rPr>
        <w:t>ELEMENTOS ESTRATEGICOS CORPORATIVOS</w:t>
      </w:r>
    </w:p>
    <w:p w:rsidR="001A60B9" w:rsidRPr="00304EED" w:rsidRDefault="001A60B9" w:rsidP="001A60B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A60B9" w:rsidRPr="002528CB" w:rsidRDefault="001A60B9" w:rsidP="001A60B9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2528CB">
        <w:rPr>
          <w:b/>
          <w:bCs/>
          <w:iCs/>
          <w:color w:val="000000"/>
          <w:u w:val="single"/>
        </w:rPr>
        <w:t>MISIÒN</w:t>
      </w:r>
    </w:p>
    <w:p w:rsidR="001A60B9" w:rsidRPr="00EA15B5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2528CB">
        <w:rPr>
          <w:rFonts w:cs="Arial"/>
          <w:i/>
          <w:iCs/>
          <w:color w:val="000000"/>
          <w:lang w:val="es-CO"/>
        </w:rPr>
        <w:t xml:space="preserve">Formar a través de procesos de educación permanente, con una estructura académica y de apoyo altamente flexible que permita ofrecer programas por ciclos propedéuticos hasta el nivel profesional de manera gradual y demás Programas Técnicos terminales que oferta la institución, mediante la organización integral de los procesos de docencia, investigación y proyección social </w:t>
      </w:r>
      <w:r w:rsidR="00CB393C" w:rsidRPr="002528CB">
        <w:rPr>
          <w:rFonts w:cs="Arial"/>
          <w:i/>
          <w:iCs/>
          <w:color w:val="000000"/>
          <w:lang w:val="es-CO"/>
        </w:rPr>
        <w:t>como garantía</w:t>
      </w:r>
      <w:r w:rsidRPr="002528CB">
        <w:rPr>
          <w:rFonts w:cs="Arial"/>
          <w:i/>
          <w:iCs/>
          <w:color w:val="000000"/>
          <w:lang w:val="es-CO"/>
        </w:rPr>
        <w:t xml:space="preserve"> </w:t>
      </w:r>
      <w:r w:rsidR="00CB393C" w:rsidRPr="002528CB">
        <w:rPr>
          <w:rFonts w:cs="Arial"/>
          <w:i/>
          <w:iCs/>
          <w:color w:val="000000"/>
          <w:lang w:val="es-CO"/>
        </w:rPr>
        <w:t>de una</w:t>
      </w:r>
      <w:r w:rsidRPr="002528CB">
        <w:rPr>
          <w:rFonts w:cs="Arial"/>
          <w:i/>
          <w:iCs/>
          <w:color w:val="000000"/>
          <w:lang w:val="es-CO"/>
        </w:rPr>
        <w:t xml:space="preserve"> </w:t>
      </w:r>
      <w:r w:rsidR="00CB393C" w:rsidRPr="002528CB">
        <w:rPr>
          <w:rFonts w:cs="Arial"/>
          <w:i/>
          <w:iCs/>
          <w:color w:val="000000"/>
          <w:lang w:val="es-CO"/>
        </w:rPr>
        <w:t>eficaz contribución</w:t>
      </w:r>
      <w:r w:rsidRPr="002528CB">
        <w:rPr>
          <w:rFonts w:cs="Arial"/>
          <w:i/>
          <w:iCs/>
          <w:color w:val="000000"/>
          <w:lang w:val="es-CO"/>
        </w:rPr>
        <w:t xml:space="preserve"> al desarrollo sostenible y productivo de la región y del país.</w:t>
      </w:r>
      <w:r w:rsidRPr="002528CB">
        <w:rPr>
          <w:rFonts w:cs="Arial"/>
          <w:i/>
          <w:iCs/>
          <w:color w:val="000000"/>
        </w:rPr>
        <w:t xml:space="preserve"> </w:t>
      </w:r>
    </w:p>
    <w:p w:rsidR="001A60B9" w:rsidRPr="002528CB" w:rsidRDefault="001A60B9" w:rsidP="001A60B9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:rsidR="001A60B9" w:rsidRPr="002528CB" w:rsidRDefault="001A60B9" w:rsidP="001A60B9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2528CB">
        <w:rPr>
          <w:b/>
          <w:bCs/>
          <w:iCs/>
          <w:color w:val="000000"/>
          <w:u w:val="single"/>
        </w:rPr>
        <w:t>VISIÒN</w:t>
      </w:r>
    </w:p>
    <w:p w:rsidR="001A60B9" w:rsidRPr="00EA15B5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2528CB" w:rsidRDefault="001A60B9" w:rsidP="001A60B9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2528CB">
        <w:rPr>
          <w:rFonts w:cs="Arial"/>
          <w:i/>
          <w:iCs/>
          <w:color w:val="000000"/>
          <w:lang w:val="es-CO"/>
        </w:rPr>
        <w:t>El Colegio Integrado Nacional Oriente de Caldas será una institución de Educación Superior consolidada en la Eco-región Eje Cafetero, con una amplia oferta académica y cobertura de sus programas mediante desarrollos institucionales propios o en alianzas con otras instituciones conocidas en la región, bajo un sistema de mejoramiento continuo.</w:t>
      </w:r>
      <w:r w:rsidRPr="002528CB">
        <w:rPr>
          <w:rFonts w:cs="Arial"/>
          <w:i/>
          <w:iCs/>
          <w:color w:val="000000"/>
        </w:rPr>
        <w:t xml:space="preserve"> </w:t>
      </w:r>
    </w:p>
    <w:p w:rsidR="001A60B9" w:rsidRPr="00EA15B5" w:rsidRDefault="001A60B9" w:rsidP="001A60B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A60B9" w:rsidRPr="002528CB" w:rsidRDefault="001A60B9" w:rsidP="001A60B9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2528CB">
        <w:rPr>
          <w:b/>
          <w:bCs/>
          <w:iCs/>
          <w:color w:val="000000"/>
          <w:u w:val="single"/>
        </w:rPr>
        <w:t>VALORES CORPORATIVOS</w:t>
      </w:r>
    </w:p>
    <w:p w:rsidR="001A60B9" w:rsidRPr="00EA15B5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Default="001A60B9" w:rsidP="001A60B9">
      <w:pPr>
        <w:autoSpaceDE w:val="0"/>
        <w:autoSpaceDN w:val="0"/>
        <w:adjustRightInd w:val="0"/>
        <w:jc w:val="both"/>
      </w:pPr>
      <w:r w:rsidRPr="002528CB">
        <w:rPr>
          <w:b/>
          <w:bCs/>
          <w:u w:val="single"/>
        </w:rPr>
        <w:t>PRINCIPIOS</w:t>
      </w:r>
      <w:r>
        <w:rPr>
          <w:b/>
          <w:bCs/>
          <w:u w:val="single"/>
        </w:rPr>
        <w:t>:</w:t>
      </w:r>
      <w:r w:rsidRPr="002528CB">
        <w:t xml:space="preserve"> </w:t>
      </w:r>
      <w:r w:rsidRPr="00EA15B5">
        <w:t>El Colegio Integrado Nacional Oriente de Caldas establece como</w:t>
      </w:r>
      <w:r>
        <w:t xml:space="preserve"> </w:t>
      </w:r>
      <w:r w:rsidRPr="00EA15B5">
        <w:t>normas orientadoras de su acción los principios generales consagrados en el Título Primero,</w:t>
      </w:r>
      <w:r>
        <w:t xml:space="preserve"> </w:t>
      </w:r>
      <w:r w:rsidRPr="00EA15B5">
        <w:t>Capítulo I de la Ley 30 de 1992, además de los siguientes:</w:t>
      </w:r>
    </w:p>
    <w:p w:rsidR="001A60B9" w:rsidRPr="00EA15B5" w:rsidRDefault="001A60B9" w:rsidP="001A60B9">
      <w:pPr>
        <w:autoSpaceDE w:val="0"/>
        <w:autoSpaceDN w:val="0"/>
        <w:adjustRightInd w:val="0"/>
        <w:jc w:val="both"/>
      </w:pPr>
    </w:p>
    <w:p w:rsidR="001A60B9" w:rsidRDefault="001A60B9" w:rsidP="001A60B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AUTONOMIA: </w:t>
      </w:r>
      <w:r w:rsidRPr="00EA15B5">
        <w:t>La autonomía del Colegio Integrado Nacional Oriente de Caldas está</w:t>
      </w:r>
      <w:r>
        <w:t xml:space="preserve"> </w:t>
      </w:r>
      <w:r w:rsidRPr="00EA15B5">
        <w:t>consagrada en la Ley 30 de 1992, la Ley 489 de 1998, y demás normas legales,</w:t>
      </w:r>
      <w:r>
        <w:t xml:space="preserve"> </w:t>
      </w:r>
      <w:r w:rsidRPr="00EA15B5">
        <w:t>reconociéndole el derecho a:</w:t>
      </w:r>
    </w:p>
    <w:p w:rsidR="001A60B9" w:rsidRPr="00EA15B5" w:rsidRDefault="001A60B9" w:rsidP="001A60B9">
      <w:pPr>
        <w:autoSpaceDE w:val="0"/>
        <w:autoSpaceDN w:val="0"/>
        <w:adjustRightInd w:val="0"/>
        <w:jc w:val="both"/>
      </w:pPr>
    </w:p>
    <w:p w:rsidR="001A60B9" w:rsidRPr="00EA15B5" w:rsidRDefault="001A60B9" w:rsidP="001A60B9">
      <w:pPr>
        <w:autoSpaceDE w:val="0"/>
        <w:autoSpaceDN w:val="0"/>
        <w:adjustRightInd w:val="0"/>
        <w:ind w:left="90" w:firstLine="720"/>
        <w:jc w:val="both"/>
      </w:pPr>
      <w:r w:rsidRPr="00EA15B5">
        <w:t>a. Darse y modificar sus estatutos.</w:t>
      </w:r>
    </w:p>
    <w:p w:rsidR="001A60B9" w:rsidRDefault="001A60B9" w:rsidP="001A60B9">
      <w:pPr>
        <w:autoSpaceDE w:val="0"/>
        <w:autoSpaceDN w:val="0"/>
        <w:adjustRightInd w:val="0"/>
        <w:ind w:firstLine="810"/>
        <w:jc w:val="both"/>
      </w:pPr>
      <w:r w:rsidRPr="00EA15B5">
        <w:t>b. Designar sus autoridades académicas y administrativas.</w:t>
      </w:r>
    </w:p>
    <w:p w:rsidR="001A60B9" w:rsidRPr="00EA15B5" w:rsidRDefault="001A60B9" w:rsidP="001A60B9">
      <w:pPr>
        <w:autoSpaceDE w:val="0"/>
        <w:autoSpaceDN w:val="0"/>
        <w:adjustRightInd w:val="0"/>
        <w:ind w:firstLine="810"/>
        <w:jc w:val="both"/>
      </w:pPr>
      <w:r>
        <w:t xml:space="preserve">c. </w:t>
      </w:r>
      <w:r w:rsidRPr="00EA15B5">
        <w:t>Crear y desarrollar sus pr</w:t>
      </w:r>
      <w:r>
        <w:t>ogramas académicos, y</w:t>
      </w:r>
      <w:r w:rsidRPr="00EA15B5">
        <w:t xml:space="preserve"> expedir los títulos.</w:t>
      </w:r>
    </w:p>
    <w:p w:rsidR="001A60B9" w:rsidRPr="00EA15B5" w:rsidRDefault="001A60B9" w:rsidP="001A60B9">
      <w:pPr>
        <w:autoSpaceDE w:val="0"/>
        <w:autoSpaceDN w:val="0"/>
        <w:adjustRightInd w:val="0"/>
        <w:ind w:left="990" w:hanging="180"/>
        <w:jc w:val="both"/>
      </w:pPr>
      <w:r w:rsidRPr="00EA15B5">
        <w:t xml:space="preserve">d. Definir y organizar sus labores formativas, académicas, docentes, científicas, culturales </w:t>
      </w:r>
      <w:r>
        <w:t xml:space="preserve">  </w:t>
      </w:r>
      <w:r w:rsidRPr="00EA15B5">
        <w:t>y</w:t>
      </w:r>
      <w:r>
        <w:t xml:space="preserve"> </w:t>
      </w:r>
      <w:r w:rsidRPr="00EA15B5">
        <w:t>de extensión.</w:t>
      </w:r>
    </w:p>
    <w:p w:rsidR="001A60B9" w:rsidRPr="00EA15B5" w:rsidRDefault="001A60B9" w:rsidP="001A60B9">
      <w:pPr>
        <w:autoSpaceDE w:val="0"/>
        <w:autoSpaceDN w:val="0"/>
        <w:adjustRightInd w:val="0"/>
        <w:ind w:firstLine="810"/>
        <w:jc w:val="both"/>
      </w:pPr>
      <w:r w:rsidRPr="00EA15B5">
        <w:t>e. Seleccionar y vincular a sus docentes, lo mismo que a sus alumnos.</w:t>
      </w:r>
    </w:p>
    <w:p w:rsidR="001A60B9" w:rsidRPr="00EA15B5" w:rsidRDefault="001A60B9" w:rsidP="001A60B9">
      <w:pPr>
        <w:autoSpaceDE w:val="0"/>
        <w:autoSpaceDN w:val="0"/>
        <w:adjustRightInd w:val="0"/>
        <w:ind w:firstLine="810"/>
        <w:jc w:val="both"/>
      </w:pPr>
      <w:r w:rsidRPr="00EA15B5">
        <w:t>f. Adoptar el régimen de alumnos y docentes.</w:t>
      </w:r>
    </w:p>
    <w:p w:rsidR="001A60B9" w:rsidRDefault="001A60B9" w:rsidP="001A60B9">
      <w:pPr>
        <w:autoSpaceDE w:val="0"/>
        <w:autoSpaceDN w:val="0"/>
        <w:adjustRightInd w:val="0"/>
        <w:ind w:left="990" w:hanging="180"/>
        <w:jc w:val="both"/>
      </w:pPr>
      <w:r w:rsidRPr="00EA15B5">
        <w:lastRenderedPageBreak/>
        <w:t>g. Arbitrar y aplicar sus recursos para el cumplimiento de su misión social y de su función</w:t>
      </w:r>
      <w:r>
        <w:t xml:space="preserve"> </w:t>
      </w:r>
      <w:r w:rsidRPr="00EA15B5">
        <w:t>Institucional.</w:t>
      </w:r>
    </w:p>
    <w:p w:rsidR="001A60B9" w:rsidRPr="001A57E5" w:rsidRDefault="001A60B9" w:rsidP="001A60B9">
      <w:pPr>
        <w:autoSpaceDE w:val="0"/>
        <w:autoSpaceDN w:val="0"/>
        <w:adjustRightInd w:val="0"/>
        <w:ind w:left="990"/>
        <w:jc w:val="both"/>
      </w:pPr>
      <w:r w:rsidRPr="00EA15B5">
        <w:rPr>
          <w:b/>
          <w:bCs/>
        </w:rPr>
        <w:t>PAR</w:t>
      </w:r>
      <w:r>
        <w:rPr>
          <w:b/>
          <w:bCs/>
        </w:rPr>
        <w:t>A</w:t>
      </w:r>
      <w:r w:rsidRPr="00EA15B5">
        <w:rPr>
          <w:b/>
          <w:bCs/>
        </w:rPr>
        <w:t xml:space="preserve">GRAFO: </w:t>
      </w:r>
      <w:r w:rsidRPr="00EA15B5">
        <w:t>Para el desarrollo de lo contemplado en los literales a) y c) se requiere</w:t>
      </w:r>
      <w:r>
        <w:t xml:space="preserve"> </w:t>
      </w:r>
      <w:r w:rsidRPr="00EA15B5">
        <w:t>notificación al Ministerio de Educación Nacional.</w:t>
      </w:r>
    </w:p>
    <w:p w:rsidR="001A60B9" w:rsidRDefault="001A60B9" w:rsidP="001A60B9">
      <w:pPr>
        <w:autoSpaceDE w:val="0"/>
        <w:autoSpaceDN w:val="0"/>
        <w:adjustRightInd w:val="0"/>
        <w:jc w:val="both"/>
      </w:pPr>
    </w:p>
    <w:p w:rsidR="001A60B9" w:rsidRDefault="001A60B9" w:rsidP="001A60B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EA15B5">
        <w:rPr>
          <w:b/>
          <w:bCs/>
        </w:rPr>
        <w:t>RESPONSABILIDAD</w:t>
      </w:r>
      <w:r w:rsidRPr="00EA15B5">
        <w:t>: Por ser una Institución de Educación Superior alejada de los grandes</w:t>
      </w:r>
      <w:r>
        <w:t xml:space="preserve"> </w:t>
      </w:r>
      <w:r w:rsidRPr="00EA15B5">
        <w:t xml:space="preserve">centros urbanos, su </w:t>
      </w:r>
      <w:r w:rsidRPr="00EA15B5">
        <w:rPr>
          <w:b/>
          <w:bCs/>
        </w:rPr>
        <w:t xml:space="preserve">Deber Ser </w:t>
      </w:r>
      <w:r w:rsidRPr="00EA15B5">
        <w:t>se encamina al servicio eficiente de los sectores vulnerables de</w:t>
      </w:r>
      <w:r>
        <w:t xml:space="preserve"> </w:t>
      </w:r>
      <w:r w:rsidRPr="00EA15B5">
        <w:t>la región, a través del desarrollo de la ciencia, la técnica y la ética.</w:t>
      </w:r>
    </w:p>
    <w:p w:rsidR="001A60B9" w:rsidRPr="00EA15B5" w:rsidRDefault="001A60B9" w:rsidP="001A60B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EXCELENCIA ACADEMICA: </w:t>
      </w:r>
      <w:r w:rsidRPr="00EA15B5">
        <w:t>Lograda por medio de la comunidad educativa, en busca</w:t>
      </w:r>
      <w:r>
        <w:t xml:space="preserve"> </w:t>
      </w:r>
      <w:r w:rsidRPr="00EA15B5">
        <w:t>permanente del conocimiento.</w:t>
      </w:r>
    </w:p>
    <w:p w:rsidR="001A60B9" w:rsidRPr="00EA15B5" w:rsidRDefault="001A60B9" w:rsidP="001A60B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CONVIVENCIA: </w:t>
      </w:r>
      <w:r w:rsidRPr="00EA15B5">
        <w:t>Entendida como el respeto mutuo entre todos los actores de la comunidad</w:t>
      </w:r>
      <w:r>
        <w:t xml:space="preserve"> </w:t>
      </w:r>
      <w:r w:rsidRPr="00EA15B5">
        <w:t>educativa.</w:t>
      </w:r>
    </w:p>
    <w:p w:rsidR="001A60B9" w:rsidRPr="00EA15B5" w:rsidRDefault="001A60B9" w:rsidP="001A60B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PARTICIPACION: </w:t>
      </w:r>
      <w:r w:rsidRPr="00EA15B5">
        <w:t>Es el derecho que tienen todos los miembros de la institución a ser</w:t>
      </w:r>
      <w:r>
        <w:t xml:space="preserve"> </w:t>
      </w:r>
      <w:r w:rsidRPr="00EA15B5">
        <w:t>actores en los diferentes momentos de la vida institucional, mediante los mecanismos</w:t>
      </w:r>
      <w:r>
        <w:t xml:space="preserve"> </w:t>
      </w:r>
      <w:r w:rsidRPr="00EA15B5">
        <w:t>consagrados en la Constitución Política, la Ley y las normas internas.</w:t>
      </w:r>
    </w:p>
    <w:p w:rsidR="001A60B9" w:rsidRPr="00EA15B5" w:rsidRDefault="001A60B9" w:rsidP="001A60B9">
      <w:pPr>
        <w:autoSpaceDE w:val="0"/>
        <w:autoSpaceDN w:val="0"/>
        <w:adjustRightInd w:val="0"/>
        <w:jc w:val="both"/>
      </w:pP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B177D1" w:rsidRDefault="001A60B9" w:rsidP="001A60B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B177D1">
        <w:rPr>
          <w:rFonts w:cs="Arial"/>
          <w:b/>
          <w:bCs/>
          <w:color w:val="000000"/>
        </w:rPr>
        <w:t>PROCESO DE RENDICIÓN DE CUENTAS A LA CIUDADANÍA.</w:t>
      </w:r>
    </w:p>
    <w:p w:rsidR="001A60B9" w:rsidRDefault="001A60B9" w:rsidP="001A60B9">
      <w:pPr>
        <w:ind w:left="72"/>
        <w:jc w:val="both"/>
        <w:rPr>
          <w:rFonts w:cs="RotisSemiSerif"/>
          <w:lang w:val="es-CO" w:eastAsia="es-CO"/>
        </w:rPr>
      </w:pPr>
    </w:p>
    <w:p w:rsidR="001A60B9" w:rsidRDefault="001A60B9" w:rsidP="001A60B9">
      <w:pPr>
        <w:ind w:left="72"/>
        <w:jc w:val="both"/>
        <w:rPr>
          <w:rFonts w:cs="RotisSemiSerif"/>
          <w:lang w:val="es-CO" w:eastAsia="es-CO"/>
        </w:rPr>
      </w:pPr>
      <w:r>
        <w:rPr>
          <w:rFonts w:cs="RotisSemiSerif"/>
          <w:lang w:val="es-CO" w:eastAsia="es-CO"/>
        </w:rPr>
        <w:t xml:space="preserve">La institución en su Plan de Desarrollo Institucional 2020-2023 en la </w:t>
      </w:r>
      <w:r w:rsidR="009C3465">
        <w:rPr>
          <w:rFonts w:cs="RotisSemiSerif"/>
          <w:lang w:val="es-CO" w:eastAsia="es-CO"/>
        </w:rPr>
        <w:t>variable estratégica</w:t>
      </w:r>
      <w:r>
        <w:rPr>
          <w:rFonts w:cs="RotisSemiSerif"/>
          <w:lang w:val="es-CO" w:eastAsia="es-CO"/>
        </w:rPr>
        <w:t xml:space="preserve"> </w:t>
      </w:r>
      <w:r w:rsidR="009C3465">
        <w:rPr>
          <w:rFonts w:cs="RotisSemiSerif"/>
          <w:lang w:val="es-CO" w:eastAsia="es-CO"/>
        </w:rPr>
        <w:t>Institucionalidad Proyecto</w:t>
      </w:r>
      <w:r>
        <w:rPr>
          <w:rFonts w:cs="RotisSemiSerif"/>
          <w:lang w:val="es-CO" w:eastAsia="es-CO"/>
        </w:rPr>
        <w:t xml:space="preserve"> VI P2 Modelo Integrado de Planeación y Gestión, contempla la rendición de cuentas a la ciudadanía.  </w:t>
      </w:r>
    </w:p>
    <w:p w:rsidR="001A60B9" w:rsidRDefault="001A60B9" w:rsidP="001A60B9">
      <w:pPr>
        <w:ind w:left="72"/>
        <w:jc w:val="both"/>
        <w:rPr>
          <w:rFonts w:cs="RotisSemiSerif"/>
          <w:lang w:val="es-CO" w:eastAsia="es-CO"/>
        </w:rPr>
      </w:pPr>
    </w:p>
    <w:p w:rsidR="001A60B9" w:rsidRDefault="001A60B9" w:rsidP="001A60B9">
      <w:pPr>
        <w:ind w:left="72"/>
        <w:jc w:val="both"/>
        <w:rPr>
          <w:rFonts w:cs="RotisSemiSerif"/>
          <w:lang w:val="es-CO" w:eastAsia="es-CO"/>
        </w:rPr>
      </w:pPr>
      <w:r>
        <w:rPr>
          <w:rFonts w:cs="RotisSemiSerif"/>
          <w:lang w:val="es-CO" w:eastAsia="es-CO"/>
        </w:rPr>
        <w:t xml:space="preserve">Cada año se realizan audiencia pública de rendición de cuentas correspondientes a la vigencia anterior y se expone el plan de acción de la vigencia en curso.  </w:t>
      </w:r>
    </w:p>
    <w:p w:rsidR="001A60B9" w:rsidRDefault="001A60B9" w:rsidP="001A60B9">
      <w:pPr>
        <w:ind w:left="72"/>
        <w:jc w:val="both"/>
        <w:rPr>
          <w:rFonts w:cs="RotisSemiSerif"/>
          <w:lang w:val="es-CO" w:eastAsia="es-CO"/>
        </w:rPr>
      </w:pPr>
    </w:p>
    <w:p w:rsidR="001A60B9" w:rsidRDefault="001A60B9" w:rsidP="001A60B9">
      <w:pPr>
        <w:ind w:left="72"/>
        <w:jc w:val="both"/>
        <w:rPr>
          <w:rFonts w:cs="RotisSemiSerif"/>
          <w:lang w:val="es-CO" w:eastAsia="es-CO"/>
        </w:rPr>
      </w:pPr>
      <w:r>
        <w:rPr>
          <w:rFonts w:cs="RotisSemiSerif"/>
          <w:lang w:val="es-CO" w:eastAsia="es-CO"/>
        </w:rPr>
        <w:t>Este proceso está regido por la normatividad expedida por parte de la Contraloría Ge</w:t>
      </w:r>
      <w:r w:rsidR="009C3465">
        <w:rPr>
          <w:rFonts w:cs="RotisSemiSerif"/>
          <w:lang w:val="es-CO" w:eastAsia="es-CO"/>
        </w:rPr>
        <w:t xml:space="preserve">neral de Caldas, a través de la resolución No. </w:t>
      </w:r>
      <w:r>
        <w:rPr>
          <w:rFonts w:cs="RotisSemiSerif"/>
          <w:lang w:val="es-CO" w:eastAsia="es-CO"/>
        </w:rPr>
        <w:t xml:space="preserve">0196 del 25 mayo de 2018.  Conforme a estas directrices, la institución cuenta con un reglamento para la realización de las audiencias públicas de rendición de cuentas, actualizado cada </w:t>
      </w:r>
      <w:r w:rsidR="009C3465">
        <w:rPr>
          <w:rFonts w:cs="RotisSemiSerif"/>
          <w:lang w:val="es-CO" w:eastAsia="es-CO"/>
        </w:rPr>
        <w:t>año el</w:t>
      </w:r>
      <w:r>
        <w:rPr>
          <w:rFonts w:cs="RotisSemiSerif"/>
          <w:lang w:val="es-CO" w:eastAsia="es-CO"/>
        </w:rPr>
        <w:t xml:space="preserve"> cual establece los parámetros para el desarrollo de los tres mom</w:t>
      </w:r>
      <w:r w:rsidR="009C3465">
        <w:rPr>
          <w:rFonts w:cs="RotisSemiSerif"/>
          <w:lang w:val="es-CO" w:eastAsia="es-CO"/>
        </w:rPr>
        <w:t>entos claves de este proceso:</w:t>
      </w:r>
      <w:r>
        <w:rPr>
          <w:rFonts w:cs="RotisSemiSerif"/>
          <w:lang w:val="es-CO" w:eastAsia="es-CO"/>
        </w:rPr>
        <w:t xml:space="preserve"> antes, durante y después de la realización de la audiencia pública.</w:t>
      </w:r>
    </w:p>
    <w:p w:rsidR="001A60B9" w:rsidRDefault="001A60B9" w:rsidP="001A60B9">
      <w:pPr>
        <w:ind w:left="72"/>
        <w:jc w:val="both"/>
        <w:rPr>
          <w:rFonts w:cs="RotisSemiSerif"/>
          <w:lang w:val="es-CO" w:eastAsia="es-CO"/>
        </w:rPr>
      </w:pPr>
    </w:p>
    <w:p w:rsidR="001A60B9" w:rsidRPr="00056768" w:rsidRDefault="001A60B9" w:rsidP="001A60B9">
      <w:pPr>
        <w:ind w:left="72"/>
        <w:jc w:val="both"/>
        <w:rPr>
          <w:rFonts w:cs="RotisSemiSerif"/>
          <w:lang w:val="es-CO" w:eastAsia="es-CO"/>
        </w:rPr>
      </w:pPr>
      <w:r>
        <w:rPr>
          <w:rFonts w:cs="RotisSemiSerif"/>
          <w:lang w:val="es-CO" w:eastAsia="es-CO"/>
        </w:rPr>
        <w:t xml:space="preserve">Se define continuar con la </w:t>
      </w:r>
      <w:r w:rsidRPr="00056768">
        <w:rPr>
          <w:rFonts w:cs="RotisSemiSerif"/>
          <w:lang w:val="es-CO" w:eastAsia="es-CO"/>
        </w:rPr>
        <w:t xml:space="preserve">política </w:t>
      </w:r>
      <w:r>
        <w:rPr>
          <w:rFonts w:cs="RotisSemiSerif"/>
          <w:lang w:val="es-CO" w:eastAsia="es-CO"/>
        </w:rPr>
        <w:t>de</w:t>
      </w:r>
      <w:r w:rsidRPr="00056768">
        <w:rPr>
          <w:rFonts w:cs="RotisSemiSerif"/>
          <w:lang w:val="es-CO" w:eastAsia="es-CO"/>
        </w:rPr>
        <w:t xml:space="preserve"> hacer oficial el proceso de rendición de cuentas de la institución</w:t>
      </w:r>
      <w:r>
        <w:rPr>
          <w:rFonts w:cs="RotisSemiSerif"/>
          <w:lang w:val="es-CO" w:eastAsia="es-CO"/>
        </w:rPr>
        <w:t>, más allá del requisito legal,</w:t>
      </w:r>
      <w:r w:rsidRPr="00056768">
        <w:rPr>
          <w:rFonts w:cs="RotisSemiSerif"/>
          <w:lang w:val="es-CO" w:eastAsia="es-CO"/>
        </w:rPr>
        <w:t xml:space="preserve"> para lo cual se</w:t>
      </w:r>
      <w:r>
        <w:rPr>
          <w:rFonts w:cs="RotisSemiSerif"/>
          <w:lang w:val="es-CO" w:eastAsia="es-CO"/>
        </w:rPr>
        <w:t xml:space="preserve"> continuará informando y comunicando </w:t>
      </w:r>
      <w:r w:rsidRPr="00056768">
        <w:rPr>
          <w:rFonts w:cs="RotisSemiSerif"/>
          <w:lang w:val="es-CO" w:eastAsia="es-CO"/>
        </w:rPr>
        <w:t>de manera permanente o periódica</w:t>
      </w:r>
      <w:r>
        <w:rPr>
          <w:rFonts w:cs="RotisSemiSerif"/>
          <w:lang w:val="es-CO" w:eastAsia="es-CO"/>
        </w:rPr>
        <w:t xml:space="preserve"> los siguientes aspectos</w:t>
      </w:r>
      <w:r w:rsidRPr="00056768">
        <w:rPr>
          <w:rFonts w:cs="RotisSemiSerif"/>
          <w:lang w:val="es-CO" w:eastAsia="es-CO"/>
        </w:rPr>
        <w:t>:</w:t>
      </w:r>
    </w:p>
    <w:p w:rsidR="001A60B9" w:rsidRDefault="001A60B9" w:rsidP="001A60B9">
      <w:pPr>
        <w:ind w:left="792"/>
        <w:jc w:val="both"/>
        <w:rPr>
          <w:rFonts w:cs="RotisSemiSerif"/>
          <w:lang w:val="es-CO" w:eastAsia="es-CO"/>
        </w:rPr>
      </w:pP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RotisSemiSerif"/>
          <w:lang w:val="es-CO" w:eastAsia="es-CO"/>
        </w:rPr>
      </w:pPr>
      <w:r w:rsidRPr="00C72817">
        <w:rPr>
          <w:rFonts w:cs="RotisSemiSerif"/>
          <w:lang w:val="es-CO" w:eastAsia="es-CO"/>
        </w:rPr>
        <w:t>Proceso de audiencia pública de rendición de cuentas</w:t>
      </w:r>
      <w:r>
        <w:rPr>
          <w:rFonts w:cs="RotisSemiSerif"/>
          <w:lang w:val="es-CO" w:eastAsia="es-CO"/>
        </w:rPr>
        <w:t>.</w:t>
      </w: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RotisSemiSerif"/>
          <w:lang w:val="es-CO" w:eastAsia="es-CO"/>
        </w:rPr>
      </w:pPr>
      <w:r w:rsidRPr="00C72817">
        <w:rPr>
          <w:rFonts w:cs="RotisSemiSerif"/>
          <w:lang w:val="es-CO" w:eastAsia="es-CO"/>
        </w:rPr>
        <w:t>La publicación de los informes financieros</w:t>
      </w:r>
      <w:r>
        <w:rPr>
          <w:rFonts w:cs="RotisSemiSerif"/>
          <w:lang w:val="es-CO" w:eastAsia="es-CO"/>
        </w:rPr>
        <w:t>.</w:t>
      </w:r>
      <w:r w:rsidRPr="00C72817">
        <w:rPr>
          <w:rFonts w:cs="RotisSemiSerif"/>
          <w:lang w:val="es-CO" w:eastAsia="es-CO"/>
        </w:rPr>
        <w:t xml:space="preserve"> (contable y presupuestal)</w:t>
      </w: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Arial"/>
          <w:lang w:val="es-CO" w:eastAsia="es-CO"/>
        </w:rPr>
      </w:pPr>
      <w:r w:rsidRPr="00C72817">
        <w:rPr>
          <w:rFonts w:cs="RotisSemiSerif"/>
          <w:lang w:val="es-CO" w:eastAsia="es-CO"/>
        </w:rPr>
        <w:t>Información contractual y de convenios</w:t>
      </w:r>
      <w:r>
        <w:rPr>
          <w:rFonts w:cs="RotisSemiSerif"/>
          <w:lang w:val="es-CO" w:eastAsia="es-CO"/>
        </w:rPr>
        <w:t>.</w:t>
      </w: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RotisSemiSerif"/>
          <w:lang w:val="es-CO" w:eastAsia="es-CO"/>
        </w:rPr>
      </w:pPr>
      <w:r w:rsidRPr="00C72817">
        <w:rPr>
          <w:rFonts w:cs="RotisSemiSerif"/>
          <w:lang w:val="es-CO" w:eastAsia="es-CO"/>
        </w:rPr>
        <w:t>Seguimiento a los planes de mejoramiento de los entes de vigilancia y control</w:t>
      </w:r>
      <w:r>
        <w:rPr>
          <w:rFonts w:cs="RotisSemiSerif"/>
          <w:lang w:val="es-CO" w:eastAsia="es-CO"/>
        </w:rPr>
        <w:t>.</w:t>
      </w: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RotisSemiSerif"/>
          <w:lang w:val="es-CO" w:eastAsia="es-CO"/>
        </w:rPr>
      </w:pPr>
      <w:r w:rsidRPr="00C72817">
        <w:rPr>
          <w:rFonts w:cs="RotisSemiSerif"/>
          <w:lang w:val="es-CO" w:eastAsia="es-CO"/>
        </w:rPr>
        <w:t>Informes de gestión</w:t>
      </w:r>
      <w:r>
        <w:rPr>
          <w:rFonts w:cs="RotisSemiSerif"/>
          <w:lang w:val="es-CO" w:eastAsia="es-CO"/>
        </w:rPr>
        <w:t>.</w:t>
      </w: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RotisSemiSerif"/>
          <w:lang w:val="es-CO" w:eastAsia="es-CO"/>
        </w:rPr>
      </w:pPr>
      <w:r w:rsidRPr="00C72817">
        <w:rPr>
          <w:rFonts w:cs="RotisSemiSerif"/>
          <w:lang w:val="es-CO" w:eastAsia="es-CO"/>
        </w:rPr>
        <w:t>Planes, programas y proyectos de cada vigencia y sus seguimientos</w:t>
      </w:r>
      <w:r>
        <w:rPr>
          <w:rFonts w:cs="RotisSemiSerif"/>
          <w:lang w:val="es-CO" w:eastAsia="es-CO"/>
        </w:rPr>
        <w:t>.</w:t>
      </w: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RotisSemiSerif"/>
          <w:lang w:val="es-CO" w:eastAsia="es-CO"/>
        </w:rPr>
      </w:pPr>
      <w:r w:rsidRPr="00C72817">
        <w:rPr>
          <w:rFonts w:cs="RotisSemiSerif"/>
          <w:lang w:val="es-CO" w:eastAsia="es-CO"/>
        </w:rPr>
        <w:lastRenderedPageBreak/>
        <w:t>Mapa de riesgos</w:t>
      </w:r>
      <w:r>
        <w:rPr>
          <w:rFonts w:cs="RotisSemiSerif"/>
          <w:lang w:val="es-CO" w:eastAsia="es-CO"/>
        </w:rPr>
        <w:t>.</w:t>
      </w:r>
    </w:p>
    <w:p w:rsidR="001A60B9" w:rsidRPr="00C72817" w:rsidRDefault="001A60B9" w:rsidP="001A60B9">
      <w:pPr>
        <w:pStyle w:val="Prrafodelista"/>
        <w:numPr>
          <w:ilvl w:val="0"/>
          <w:numId w:val="14"/>
        </w:numPr>
        <w:jc w:val="both"/>
        <w:rPr>
          <w:rFonts w:cs="RotisSemiSerif"/>
          <w:lang w:val="es-CO" w:eastAsia="es-CO"/>
        </w:rPr>
      </w:pPr>
      <w:r w:rsidRPr="00C72817">
        <w:rPr>
          <w:rFonts w:cs="RotisSemiSerif"/>
          <w:lang w:val="es-CO" w:eastAsia="es-CO"/>
        </w:rPr>
        <w:t>Indicadores</w:t>
      </w:r>
      <w:r>
        <w:rPr>
          <w:rFonts w:cs="RotisSemiSerif"/>
          <w:lang w:val="es-CO" w:eastAsia="es-CO"/>
        </w:rPr>
        <w:t>.</w:t>
      </w:r>
    </w:p>
    <w:p w:rsidR="009C3465" w:rsidRDefault="009C3465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Plan de trabajo para el proceso de rendición de cuentas</w:t>
      </w:r>
      <w:r w:rsidR="009C3465">
        <w:rPr>
          <w:rFonts w:cs="Arial"/>
          <w:color w:val="000000"/>
        </w:rPr>
        <w:t xml:space="preserve"> V-2020</w:t>
      </w: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549"/>
        <w:gridCol w:w="1843"/>
        <w:gridCol w:w="1701"/>
      </w:tblGrid>
      <w:tr w:rsidR="001A60B9" w:rsidRPr="008B1AF2" w:rsidTr="008B1AF2">
        <w:trPr>
          <w:trHeight w:val="300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0D2C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bookmarkStart w:id="1" w:name="OLE_LINK1"/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ACTIVIDADES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0D2C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0D2C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RESPONSABLE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0D2C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PRODUCTO</w:t>
            </w:r>
          </w:p>
        </w:tc>
      </w:tr>
      <w:tr w:rsidR="001A60B9" w:rsidRPr="008B1AF2" w:rsidTr="008B1AF2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PREPARACION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1A60B9" w:rsidRPr="008B1AF2" w:rsidTr="008B1AF2">
        <w:trPr>
          <w:trHeight w:val="252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Socialización de Directrices para el proceso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F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eb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rero 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10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Actas  Trabajo</w:t>
            </w:r>
          </w:p>
        </w:tc>
      </w:tr>
      <w:tr w:rsidR="001A60B9" w:rsidRPr="008B1AF2" w:rsidTr="008B1AF2">
        <w:trPr>
          <w:trHeight w:val="283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Elaboración de Informes por las dependencias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Feb</w:t>
            </w:r>
            <w:r w:rsidR="008B1AF2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 14/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Marzo 16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Líderes de Proceso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Informe Dependencia</w:t>
            </w:r>
          </w:p>
        </w:tc>
      </w:tr>
      <w:tr w:rsidR="001A60B9" w:rsidRPr="008B1AF2" w:rsidTr="008B1AF2">
        <w:trPr>
          <w:trHeight w:val="274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Revisión de Informes por el Comité de MIPG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17/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Marzo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Actas  Trabajo</w:t>
            </w:r>
          </w:p>
        </w:tc>
      </w:tr>
      <w:tr w:rsidR="001A60B9" w:rsidRPr="008B1AF2" w:rsidTr="008B1AF2">
        <w:trPr>
          <w:trHeight w:val="264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Consolidación del Informe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23/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Marzo 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Informe consolidado</w:t>
            </w:r>
          </w:p>
        </w:tc>
      </w:tr>
      <w:tr w:rsidR="001A60B9" w:rsidRPr="008B1AF2" w:rsidTr="008B1AF2">
        <w:trPr>
          <w:trHeight w:val="281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Elaboración de Informe resumido para la ciudadanía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23/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Marzo 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Informe resumen</w:t>
            </w:r>
          </w:p>
        </w:tc>
      </w:tr>
      <w:tr w:rsidR="001A60B9" w:rsidRPr="008B1AF2" w:rsidTr="008B1AF2">
        <w:trPr>
          <w:trHeight w:val="272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Publicidad de la Audiencia en página web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 Abril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Responsable Página Web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Pantallazos</w:t>
            </w:r>
          </w:p>
        </w:tc>
      </w:tr>
      <w:tr w:rsidR="001A60B9" w:rsidRPr="008B1AF2" w:rsidTr="008B1AF2">
        <w:trPr>
          <w:trHeight w:val="134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Publicidad de la Audiencia en Redes Sociales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Pantallazos</w:t>
            </w:r>
          </w:p>
        </w:tc>
      </w:tr>
      <w:tr w:rsidR="001A60B9" w:rsidRPr="008B1AF2" w:rsidTr="008B1AF2">
        <w:trPr>
          <w:trHeight w:val="207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Publicidad de la Audiencia en Medios escritos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Oficios, Circulares</w:t>
            </w:r>
          </w:p>
        </w:tc>
      </w:tr>
      <w:tr w:rsidR="001A60B9" w:rsidRPr="008B1AF2" w:rsidTr="008B1AF2">
        <w:trPr>
          <w:trHeight w:val="268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Invitaciones personalizadas para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Oficios</w:t>
            </w:r>
          </w:p>
        </w:tc>
      </w:tr>
      <w:tr w:rsidR="001A60B9" w:rsidRPr="008B1AF2" w:rsidTr="008B1AF2">
        <w:trPr>
          <w:trHeight w:val="143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Reunión con la comunidad para dar a conocer el objetivo de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Actas  Trabajo</w:t>
            </w:r>
          </w:p>
        </w:tc>
      </w:tr>
      <w:tr w:rsidR="00976FDE" w:rsidRPr="008B1AF2" w:rsidTr="008B1AF2">
        <w:trPr>
          <w:trHeight w:val="143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DE" w:rsidRPr="008B1AF2" w:rsidRDefault="00976FDE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Mesa de trabajo con grupos de Valor para perfilar los temas de la exposición (Temas Principales)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DE" w:rsidRPr="008B1AF2" w:rsidRDefault="00976FDE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27/Abril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DE" w:rsidRPr="008B1AF2" w:rsidRDefault="00976FDE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Control Interno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DE" w:rsidRPr="008B1AF2" w:rsidRDefault="00976FDE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 de Trabajo</w:t>
            </w:r>
          </w:p>
        </w:tc>
      </w:tr>
      <w:tr w:rsidR="001A60B9" w:rsidRPr="008B1AF2" w:rsidTr="008B1AF2">
        <w:trPr>
          <w:trHeight w:val="164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Actualización de Reglamento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Reglamento actualizado</w:t>
            </w:r>
          </w:p>
        </w:tc>
      </w:tr>
      <w:tr w:rsidR="001A60B9" w:rsidRPr="008B1AF2" w:rsidTr="008B1AF2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REALIZACIÓN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1A60B9" w:rsidRPr="008B1AF2" w:rsidTr="008B1AF2">
        <w:trPr>
          <w:trHeight w:val="16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Logística para la Audiencia en Espacio Físico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Talento Humano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Espacio adecuado</w:t>
            </w:r>
          </w:p>
        </w:tc>
      </w:tr>
      <w:tr w:rsidR="001A60B9" w:rsidRPr="008B1AF2" w:rsidTr="008B1AF2">
        <w:trPr>
          <w:trHeight w:val="106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Logística para la Audiencia a través de redes sociales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Transmisión audiencia</w:t>
            </w:r>
          </w:p>
        </w:tc>
      </w:tr>
      <w:tr w:rsidR="001A60B9" w:rsidRPr="008B1AF2" w:rsidTr="008B1AF2">
        <w:trPr>
          <w:trHeight w:val="267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Revisión de sugerencias de la comunidad para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27/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Abril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Actas  Trabajo</w:t>
            </w:r>
          </w:p>
        </w:tc>
      </w:tr>
      <w:tr w:rsidR="001A60B9" w:rsidRPr="008B1AF2" w:rsidTr="008B1AF2">
        <w:trPr>
          <w:trHeight w:val="146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Realización de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br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il 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29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Líderes de Proceso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Listado de Asistentes</w:t>
            </w:r>
          </w:p>
        </w:tc>
      </w:tr>
      <w:tr w:rsidR="001A60B9" w:rsidRPr="008B1AF2" w:rsidTr="008B1AF2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EVALUACION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1A60B9" w:rsidRPr="008B1AF2" w:rsidTr="008B1AF2">
        <w:trPr>
          <w:trHeight w:val="21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Elaboración de Informe de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Mayo 4/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 Mayo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Informe</w:t>
            </w:r>
          </w:p>
        </w:tc>
      </w:tr>
      <w:tr w:rsidR="001A60B9" w:rsidRPr="008B1AF2" w:rsidTr="008B1AF2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Revisión del Informe de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Mayo 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12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Comité de MIPG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Actas  Trabajo</w:t>
            </w:r>
          </w:p>
        </w:tc>
      </w:tr>
      <w:tr w:rsidR="001A60B9" w:rsidRPr="008B1AF2" w:rsidTr="008B1AF2">
        <w:trPr>
          <w:trHeight w:val="146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Ajuste a Planes Producto de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Mayo 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13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Comité de MIPG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Actas  Trabajo</w:t>
            </w:r>
          </w:p>
        </w:tc>
      </w:tr>
      <w:tr w:rsidR="001A60B9" w:rsidRPr="008B1AF2" w:rsidTr="008B1AF2">
        <w:trPr>
          <w:trHeight w:val="206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Publicación del Informe de la Audiencia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Mayo </w:t>
            </w:r>
            <w:r w:rsidR="001A60B9"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14</w:t>
            </w: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Pantallazos</w:t>
            </w:r>
          </w:p>
        </w:tc>
      </w:tr>
      <w:tr w:rsidR="008B1AF2" w:rsidRPr="008B1AF2" w:rsidTr="008B1AF2">
        <w:trPr>
          <w:trHeight w:val="206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F2" w:rsidRPr="008B1AF2" w:rsidRDefault="008B1AF2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Publicación Conclusiones de la Realización de la Audiencia</w:t>
            </w:r>
            <w:r w:rsidR="00976FDE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 Publica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F2" w:rsidRPr="008B1AF2" w:rsidRDefault="008B1AF2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Mayo 18/2020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F2" w:rsidRPr="008B1AF2" w:rsidRDefault="008B1AF2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Control Interno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F2" w:rsidRPr="008B1AF2" w:rsidRDefault="008B1AF2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Informe Publicado</w:t>
            </w:r>
          </w:p>
        </w:tc>
      </w:tr>
      <w:tr w:rsidR="001A60B9" w:rsidRPr="008B1AF2" w:rsidTr="008B1AF2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CO" w:eastAsia="es-CO"/>
              </w:rPr>
              <w:t>OTROS ESPACIOS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1A60B9" w:rsidRPr="008B1AF2" w:rsidTr="008B1AF2">
        <w:trPr>
          <w:trHeight w:val="409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Reuniones trimestrales con los funcionarios de la Entidad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Marzo, Junio, Septiembre, Diciembre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Grupo Admón.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Listado de Asistentes</w:t>
            </w:r>
          </w:p>
        </w:tc>
      </w:tr>
      <w:tr w:rsidR="001A60B9" w:rsidRPr="008B1AF2" w:rsidTr="008B1AF2">
        <w:trPr>
          <w:trHeight w:val="60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Publicación de Informes de Gestión en el link de transparencia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Junio, Noviembre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Responsable Página Web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Pantallazos</w:t>
            </w:r>
          </w:p>
        </w:tc>
      </w:tr>
      <w:tr w:rsidR="001A60B9" w:rsidRPr="008B1AF2" w:rsidTr="008B1AF2">
        <w:trPr>
          <w:trHeight w:val="30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 xml:space="preserve">Cafés con el Rector y la comunidad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B9" w:rsidRPr="008B1AF2" w:rsidRDefault="001A60B9" w:rsidP="00976FDE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Bimensualmente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B9" w:rsidRPr="008B1AF2" w:rsidRDefault="001A60B9" w:rsidP="000D2CA4">
            <w:pPr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</w:pPr>
            <w:r w:rsidRPr="008B1AF2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Actas  Trabajo</w:t>
            </w:r>
          </w:p>
        </w:tc>
      </w:tr>
      <w:bookmarkEnd w:id="1"/>
    </w:tbl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60B9" w:rsidRPr="00D13DC2" w:rsidRDefault="001A60B9" w:rsidP="001A60B9">
      <w:pPr>
        <w:autoSpaceDE w:val="0"/>
        <w:autoSpaceDN w:val="0"/>
        <w:adjustRightInd w:val="0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Original Firmado</w:t>
      </w:r>
    </w:p>
    <w:p w:rsidR="001A60B9" w:rsidRPr="0079304C" w:rsidRDefault="001A60B9" w:rsidP="001A60B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JUAN CARLOS LOAIZA SERNA</w:t>
      </w:r>
    </w:p>
    <w:p w:rsidR="001A60B9" w:rsidRPr="0079304C" w:rsidRDefault="001A60B9" w:rsidP="001A60B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Rector</w:t>
      </w: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A60B9" w:rsidRDefault="00976FDE" w:rsidP="001A60B9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Pensilvania, febrero</w:t>
      </w:r>
      <w:r w:rsidR="001A60B9">
        <w:rPr>
          <w:rFonts w:cs="Arial"/>
          <w:bCs/>
          <w:color w:val="000000"/>
        </w:rPr>
        <w:t xml:space="preserve"> de 2020. </w:t>
      </w:r>
    </w:p>
    <w:p w:rsidR="001A60B9" w:rsidRDefault="001A60B9" w:rsidP="001A60B9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1A60B9" w:rsidRPr="00976FDE" w:rsidRDefault="001A60B9" w:rsidP="001A60B9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2"/>
          <w:szCs w:val="12"/>
        </w:rPr>
      </w:pPr>
      <w:r w:rsidRPr="00976FDE">
        <w:rPr>
          <w:rFonts w:cs="Arial"/>
          <w:bCs/>
          <w:color w:val="000000"/>
          <w:sz w:val="12"/>
          <w:szCs w:val="12"/>
        </w:rPr>
        <w:t>Proyectó:   G.M.H.G.</w:t>
      </w:r>
    </w:p>
    <w:p w:rsidR="001A60B9" w:rsidRPr="00976FDE" w:rsidRDefault="001A60B9" w:rsidP="001A60B9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2"/>
          <w:szCs w:val="12"/>
        </w:rPr>
      </w:pPr>
      <w:r w:rsidRPr="00976FDE">
        <w:rPr>
          <w:rFonts w:cs="Arial"/>
          <w:bCs/>
          <w:color w:val="000000"/>
          <w:sz w:val="12"/>
          <w:szCs w:val="12"/>
        </w:rPr>
        <w:t>Digitó:       G.M.H.G.</w:t>
      </w:r>
    </w:p>
    <w:p w:rsidR="005E24D2" w:rsidRPr="002F6A42" w:rsidRDefault="001A60B9" w:rsidP="0001659A">
      <w:pPr>
        <w:tabs>
          <w:tab w:val="left" w:pos="7162"/>
        </w:tabs>
        <w:rPr>
          <w:rFonts w:cs="Arial"/>
          <w:bCs/>
          <w:color w:val="000000"/>
          <w:sz w:val="20"/>
          <w:szCs w:val="20"/>
        </w:rPr>
      </w:pPr>
      <w:r w:rsidRPr="00976FDE">
        <w:rPr>
          <w:rFonts w:cs="Arial"/>
          <w:bCs/>
          <w:color w:val="000000"/>
          <w:sz w:val="12"/>
          <w:szCs w:val="12"/>
        </w:rPr>
        <w:t>Ajusto:       J.P.H.A</w:t>
      </w:r>
    </w:p>
    <w:sectPr w:rsidR="005E24D2" w:rsidRPr="002F6A42" w:rsidSect="00032B36">
      <w:headerReference w:type="default" r:id="rId12"/>
      <w:footerReference w:type="default" r:id="rId13"/>
      <w:pgSz w:w="12240" w:h="15840" w:code="1"/>
      <w:pgMar w:top="1699" w:right="1699" w:bottom="1411" w:left="1699" w:header="7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7" w:rsidRDefault="00D72427" w:rsidP="0030189E">
      <w:r>
        <w:separator/>
      </w:r>
    </w:p>
  </w:endnote>
  <w:endnote w:type="continuationSeparator" w:id="0">
    <w:p w:rsidR="00D72427" w:rsidRDefault="00D72427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35" w:rsidRDefault="002F2D3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1242</wp:posOffset>
          </wp:positionH>
          <wp:positionV relativeFrom="paragraph">
            <wp:posOffset>-588369</wp:posOffset>
          </wp:positionV>
          <wp:extent cx="5311472" cy="1232452"/>
          <wp:effectExtent l="0" t="0" r="381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1472" cy="123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7" w:rsidRDefault="00D72427" w:rsidP="0030189E">
      <w:r>
        <w:separator/>
      </w:r>
    </w:p>
  </w:footnote>
  <w:footnote w:type="continuationSeparator" w:id="0">
    <w:p w:rsidR="00D72427" w:rsidRDefault="00D72427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35" w:rsidRPr="00E55B6B" w:rsidRDefault="002B0D01" w:rsidP="002B0D01">
    <w:pPr>
      <w:pStyle w:val="Encabezado"/>
      <w:tabs>
        <w:tab w:val="center" w:pos="3686"/>
      </w:tabs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inline distT="0" distB="0" distL="0" distR="0" wp14:anchorId="71AAADF8" wp14:editId="3BE0FF7A">
          <wp:extent cx="1351722" cy="437349"/>
          <wp:effectExtent l="0" t="0" r="127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521" cy="4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D35"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0DB05" wp14:editId="721F14A6">
              <wp:simplePos x="0" y="0"/>
              <wp:positionH relativeFrom="column">
                <wp:posOffset>2290445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D35" w:rsidRPr="00B86C73" w:rsidRDefault="002F2D35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2F2D35" w:rsidRPr="00B86C73" w:rsidRDefault="002F2D35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2F2D35" w:rsidRPr="00B86C73" w:rsidRDefault="002F2D35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2F2D35" w:rsidRDefault="002F2D35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0DB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0.35pt;margin-top:-2.75pt;width:312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CIkEu3gAAAAkBAAAPAAAAAAAAAAAAAAAAAH8EAABkcnMvZG93&#10;bnJldi54bWxQSwUGAAAAAAQABADzAAAAigUAAAAA&#10;" stroked="f">
              <v:textbox>
                <w:txbxContent>
                  <w:p w:rsidR="002F2D35" w:rsidRPr="00B86C73" w:rsidRDefault="002F2D35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2F2D35" w:rsidRPr="00B86C73" w:rsidRDefault="002F2D35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2F2D35" w:rsidRPr="00B86C73" w:rsidRDefault="002F2D35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2F2D35" w:rsidRDefault="002F2D35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F2D35" w:rsidRDefault="002F2D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D85"/>
    <w:multiLevelType w:val="hybridMultilevel"/>
    <w:tmpl w:val="58647E54"/>
    <w:lvl w:ilvl="0" w:tplc="24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EDA727E"/>
    <w:multiLevelType w:val="hybridMultilevel"/>
    <w:tmpl w:val="9622FB8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904"/>
    <w:multiLevelType w:val="hybridMultilevel"/>
    <w:tmpl w:val="BD0036AE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1920F6E"/>
    <w:multiLevelType w:val="hybridMultilevel"/>
    <w:tmpl w:val="DED41FCE"/>
    <w:lvl w:ilvl="0" w:tplc="B002C0B6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RotisSemiSerif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0F23"/>
    <w:multiLevelType w:val="hybridMultilevel"/>
    <w:tmpl w:val="8BDE6BC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E2995"/>
    <w:multiLevelType w:val="multilevel"/>
    <w:tmpl w:val="E78C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170EAF"/>
    <w:multiLevelType w:val="multilevel"/>
    <w:tmpl w:val="291C80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8834A3"/>
    <w:multiLevelType w:val="hybridMultilevel"/>
    <w:tmpl w:val="0E58C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643"/>
    <w:multiLevelType w:val="hybridMultilevel"/>
    <w:tmpl w:val="69F6871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D0351"/>
    <w:multiLevelType w:val="hybridMultilevel"/>
    <w:tmpl w:val="B742F6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A39"/>
    <w:multiLevelType w:val="multilevel"/>
    <w:tmpl w:val="FE328F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E653A4F"/>
    <w:multiLevelType w:val="hybridMultilevel"/>
    <w:tmpl w:val="BF780C98"/>
    <w:lvl w:ilvl="0" w:tplc="61F8FD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4256F"/>
    <w:multiLevelType w:val="hybridMultilevel"/>
    <w:tmpl w:val="A04ACAA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0473D"/>
    <w:multiLevelType w:val="multilevel"/>
    <w:tmpl w:val="1400B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B338D3"/>
    <w:multiLevelType w:val="hybridMultilevel"/>
    <w:tmpl w:val="BC86D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F7EF7"/>
    <w:multiLevelType w:val="hybridMultilevel"/>
    <w:tmpl w:val="57DAD9F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145D46"/>
    <w:multiLevelType w:val="hybridMultilevel"/>
    <w:tmpl w:val="1160F53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A0F83"/>
    <w:multiLevelType w:val="hybridMultilevel"/>
    <w:tmpl w:val="CDBE808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7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32B36"/>
    <w:rsid w:val="00063BB9"/>
    <w:rsid w:val="00095D72"/>
    <w:rsid w:val="000C1D42"/>
    <w:rsid w:val="000C4F36"/>
    <w:rsid w:val="00105372"/>
    <w:rsid w:val="00115684"/>
    <w:rsid w:val="0012512F"/>
    <w:rsid w:val="00130BE2"/>
    <w:rsid w:val="00162B5F"/>
    <w:rsid w:val="00187646"/>
    <w:rsid w:val="001A57E5"/>
    <w:rsid w:val="001A60B9"/>
    <w:rsid w:val="001A7DB5"/>
    <w:rsid w:val="001C0979"/>
    <w:rsid w:val="001D42AE"/>
    <w:rsid w:val="001F3977"/>
    <w:rsid w:val="00280543"/>
    <w:rsid w:val="002B0D01"/>
    <w:rsid w:val="002F2D35"/>
    <w:rsid w:val="002F6A42"/>
    <w:rsid w:val="0030189E"/>
    <w:rsid w:val="003531CA"/>
    <w:rsid w:val="003571D9"/>
    <w:rsid w:val="00391A41"/>
    <w:rsid w:val="003A46D2"/>
    <w:rsid w:val="003C312F"/>
    <w:rsid w:val="003E3DAD"/>
    <w:rsid w:val="003F1158"/>
    <w:rsid w:val="003F34AB"/>
    <w:rsid w:val="003F77B8"/>
    <w:rsid w:val="00400F08"/>
    <w:rsid w:val="004320C9"/>
    <w:rsid w:val="0043710C"/>
    <w:rsid w:val="00466662"/>
    <w:rsid w:val="0047236D"/>
    <w:rsid w:val="00473971"/>
    <w:rsid w:val="004A4CB2"/>
    <w:rsid w:val="004C7D45"/>
    <w:rsid w:val="005527AD"/>
    <w:rsid w:val="005700AC"/>
    <w:rsid w:val="005A666C"/>
    <w:rsid w:val="005E24D2"/>
    <w:rsid w:val="005E516D"/>
    <w:rsid w:val="00614B28"/>
    <w:rsid w:val="006468C6"/>
    <w:rsid w:val="006565A3"/>
    <w:rsid w:val="0066151A"/>
    <w:rsid w:val="00673B85"/>
    <w:rsid w:val="00674002"/>
    <w:rsid w:val="00690488"/>
    <w:rsid w:val="00693C97"/>
    <w:rsid w:val="006B3650"/>
    <w:rsid w:val="006E46D3"/>
    <w:rsid w:val="00705395"/>
    <w:rsid w:val="00736400"/>
    <w:rsid w:val="00751902"/>
    <w:rsid w:val="00793DB2"/>
    <w:rsid w:val="007D21E8"/>
    <w:rsid w:val="007F18B4"/>
    <w:rsid w:val="00800B84"/>
    <w:rsid w:val="0089166F"/>
    <w:rsid w:val="00892DD2"/>
    <w:rsid w:val="008B1AF2"/>
    <w:rsid w:val="008B2CC2"/>
    <w:rsid w:val="00910DEF"/>
    <w:rsid w:val="00950FFE"/>
    <w:rsid w:val="00976FDE"/>
    <w:rsid w:val="009872CF"/>
    <w:rsid w:val="009C3465"/>
    <w:rsid w:val="009C381D"/>
    <w:rsid w:val="009E5385"/>
    <w:rsid w:val="009F7240"/>
    <w:rsid w:val="00A31827"/>
    <w:rsid w:val="00A400CE"/>
    <w:rsid w:val="00A93D69"/>
    <w:rsid w:val="00B11430"/>
    <w:rsid w:val="00B63707"/>
    <w:rsid w:val="00B86C73"/>
    <w:rsid w:val="00BE10FD"/>
    <w:rsid w:val="00BE7C7D"/>
    <w:rsid w:val="00C02266"/>
    <w:rsid w:val="00C1686A"/>
    <w:rsid w:val="00C33801"/>
    <w:rsid w:val="00C72817"/>
    <w:rsid w:val="00CB2E32"/>
    <w:rsid w:val="00CB393C"/>
    <w:rsid w:val="00CC37AF"/>
    <w:rsid w:val="00CE1FB6"/>
    <w:rsid w:val="00D33F7A"/>
    <w:rsid w:val="00D4445A"/>
    <w:rsid w:val="00D47B6D"/>
    <w:rsid w:val="00D62CB5"/>
    <w:rsid w:val="00D72427"/>
    <w:rsid w:val="00D81FEC"/>
    <w:rsid w:val="00DB4F39"/>
    <w:rsid w:val="00DE69D8"/>
    <w:rsid w:val="00DF4B84"/>
    <w:rsid w:val="00E361A1"/>
    <w:rsid w:val="00E37F41"/>
    <w:rsid w:val="00E57F3B"/>
    <w:rsid w:val="00E672B3"/>
    <w:rsid w:val="00E74C44"/>
    <w:rsid w:val="00E87C30"/>
    <w:rsid w:val="00E926C6"/>
    <w:rsid w:val="00EB5EC9"/>
    <w:rsid w:val="00EE5E38"/>
    <w:rsid w:val="00F33F96"/>
    <w:rsid w:val="00F50B7D"/>
    <w:rsid w:val="00F61624"/>
    <w:rsid w:val="00F965DA"/>
    <w:rsid w:val="00FB4CC4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83B7C-A8A5-4E2F-AE39-C66F099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32B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72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92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282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cionpublica.gov.co/eva/gestornormativo/norma.php?i=469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uncionpublica.gov.co/eva/gestornormativo/norma.php?i=4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3118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</dc:creator>
  <cp:keywords/>
  <dc:description/>
  <cp:lastModifiedBy>Planeación</cp:lastModifiedBy>
  <cp:revision>2</cp:revision>
  <cp:lastPrinted>2020-02-04T15:15:00Z</cp:lastPrinted>
  <dcterms:created xsi:type="dcterms:W3CDTF">2020-02-04T16:00:00Z</dcterms:created>
  <dcterms:modified xsi:type="dcterms:W3CDTF">2020-02-04T16:00:00Z</dcterms:modified>
</cp:coreProperties>
</file>